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33AF" w14:textId="08D277C1" w:rsidR="00B721BA" w:rsidRPr="00A271EB" w:rsidRDefault="009933FD" w:rsidP="009933FD">
      <w:pPr>
        <w:spacing w:line="240" w:lineRule="auto"/>
        <w:jc w:val="both"/>
        <w:rPr>
          <w:rFonts w:ascii="Calibri" w:hAnsi="Calibri" w:cs="Calibri"/>
          <w:b/>
          <w:bCs/>
          <w:sz w:val="24"/>
          <w:szCs w:val="24"/>
        </w:rPr>
      </w:pPr>
      <w:r>
        <w:rPr>
          <w:noProof/>
        </w:rPr>
        <w:drawing>
          <wp:anchor distT="0" distB="0" distL="114300" distR="114300" simplePos="0" relativeHeight="251664384" behindDoc="0" locked="0" layoutInCell="1" allowOverlap="1" wp14:anchorId="6B867320" wp14:editId="6E769366">
            <wp:simplePos x="0" y="0"/>
            <wp:positionH relativeFrom="margin">
              <wp:posOffset>4461510</wp:posOffset>
            </wp:positionH>
            <wp:positionV relativeFrom="paragraph">
              <wp:posOffset>1270</wp:posOffset>
            </wp:positionV>
            <wp:extent cx="1371600" cy="400050"/>
            <wp:effectExtent l="0" t="0" r="0" b="0"/>
            <wp:wrapNone/>
            <wp:docPr id="2084158111" name="Picture 6" descr="Who We Are - The Aurum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o We Are - The Aurum Institu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CCA53FB" wp14:editId="02C5DB80">
            <wp:simplePos x="0" y="0"/>
            <wp:positionH relativeFrom="margin">
              <wp:posOffset>0</wp:posOffset>
            </wp:positionH>
            <wp:positionV relativeFrom="paragraph">
              <wp:posOffset>16891</wp:posOffset>
            </wp:positionV>
            <wp:extent cx="1664208" cy="432738"/>
            <wp:effectExtent l="0" t="0" r="0" b="5715"/>
            <wp:wrapNone/>
            <wp:docPr id="244471591" name="Picture 8" descr="Global Health Innovative Technolog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lobal Health Innovative Technology F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4208" cy="4327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5B060" w14:textId="52A47AC7" w:rsidR="00B424DA" w:rsidRPr="00A271EB" w:rsidRDefault="00B424DA" w:rsidP="009933FD">
      <w:pPr>
        <w:spacing w:line="240" w:lineRule="auto"/>
        <w:jc w:val="center"/>
        <w:rPr>
          <w:rFonts w:ascii="Calibri" w:hAnsi="Calibri" w:cs="Calibri"/>
          <w:b/>
          <w:bCs/>
          <w:sz w:val="24"/>
          <w:szCs w:val="24"/>
        </w:rPr>
      </w:pPr>
    </w:p>
    <w:p w14:paraId="3C0647DC" w14:textId="4C654007" w:rsidR="00B424DA" w:rsidRPr="00A271EB" w:rsidRDefault="00C94C4A" w:rsidP="009933FD">
      <w:pPr>
        <w:spacing w:line="240" w:lineRule="auto"/>
        <w:jc w:val="center"/>
        <w:rPr>
          <w:rFonts w:ascii="Calibri" w:hAnsi="Calibri" w:cs="Calibri"/>
          <w:b/>
          <w:bCs/>
          <w:sz w:val="24"/>
          <w:szCs w:val="24"/>
        </w:rPr>
      </w:pPr>
      <w:r>
        <w:rPr>
          <w:noProof/>
        </w:rPr>
        <mc:AlternateContent>
          <mc:Choice Requires="wps">
            <w:drawing>
              <wp:inline distT="0" distB="0" distL="0" distR="0" wp14:anchorId="0E9E29D6" wp14:editId="5D1F2634">
                <wp:extent cx="304800" cy="304800"/>
                <wp:effectExtent l="0" t="0" r="0" b="0"/>
                <wp:docPr id="230388896" name="Rectangle 3" descr="RTI International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019E5" id="Rectangle 3" o:spid="_x0000_s1026" alt="RTI International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p>
    <w:p w14:paraId="035BDFF5" w14:textId="386C7C8C" w:rsidR="00B424DA" w:rsidRPr="00A271EB" w:rsidRDefault="00B424DA" w:rsidP="009933FD">
      <w:pPr>
        <w:spacing w:line="240" w:lineRule="auto"/>
        <w:jc w:val="center"/>
        <w:rPr>
          <w:rFonts w:ascii="Calibri" w:hAnsi="Calibri" w:cs="Calibri"/>
          <w:b/>
          <w:bCs/>
          <w:sz w:val="24"/>
          <w:szCs w:val="24"/>
        </w:rPr>
      </w:pPr>
    </w:p>
    <w:p w14:paraId="7683153B" w14:textId="47091C2C" w:rsidR="00B424DA" w:rsidRPr="00A271EB" w:rsidRDefault="00B424DA" w:rsidP="009933FD">
      <w:pPr>
        <w:spacing w:line="240" w:lineRule="auto"/>
        <w:jc w:val="center"/>
        <w:rPr>
          <w:rFonts w:ascii="Calibri" w:hAnsi="Calibri" w:cs="Calibri"/>
          <w:b/>
          <w:bCs/>
          <w:sz w:val="24"/>
          <w:szCs w:val="24"/>
        </w:rPr>
      </w:pPr>
    </w:p>
    <w:p w14:paraId="675E3942" w14:textId="77777777" w:rsidR="00B424DA" w:rsidRPr="00A271EB" w:rsidRDefault="00B424DA" w:rsidP="009933FD">
      <w:pPr>
        <w:spacing w:line="240" w:lineRule="auto"/>
        <w:jc w:val="center"/>
        <w:rPr>
          <w:rFonts w:ascii="Calibri" w:hAnsi="Calibri" w:cs="Calibri"/>
          <w:b/>
          <w:bCs/>
          <w:sz w:val="24"/>
          <w:szCs w:val="24"/>
        </w:rPr>
      </w:pPr>
    </w:p>
    <w:p w14:paraId="24C773F1" w14:textId="48F05538" w:rsidR="00B424DA" w:rsidRPr="00B65357" w:rsidRDefault="00B424DA" w:rsidP="009933FD">
      <w:pPr>
        <w:pStyle w:val="Heading1"/>
        <w:spacing w:line="240" w:lineRule="auto"/>
        <w:jc w:val="center"/>
        <w:rPr>
          <w:b/>
          <w:bCs/>
          <w:color w:val="auto"/>
        </w:rPr>
      </w:pPr>
      <w:r>
        <w:rPr>
          <w:b/>
          <w:bCs/>
          <w:color w:val="auto"/>
        </w:rPr>
        <w:t>CALL FOR EXPRESSION OF INTEREST</w:t>
      </w:r>
    </w:p>
    <w:p w14:paraId="21EB73B1" w14:textId="77777777" w:rsidR="00B424DA" w:rsidRPr="00A271EB" w:rsidRDefault="00B424DA" w:rsidP="009933FD">
      <w:pPr>
        <w:spacing w:line="240" w:lineRule="auto"/>
        <w:jc w:val="center"/>
        <w:rPr>
          <w:rFonts w:ascii="Calibri" w:hAnsi="Calibri" w:cs="Calibri"/>
          <w:b/>
          <w:bCs/>
          <w:sz w:val="36"/>
          <w:szCs w:val="36"/>
        </w:rPr>
      </w:pPr>
    </w:p>
    <w:p w14:paraId="6768D032" w14:textId="77777777" w:rsidR="00B424DA" w:rsidRPr="00A271EB" w:rsidRDefault="00B424DA" w:rsidP="009933FD">
      <w:pPr>
        <w:spacing w:line="240" w:lineRule="auto"/>
        <w:jc w:val="center"/>
        <w:rPr>
          <w:rFonts w:ascii="Calibri" w:hAnsi="Calibri" w:cs="Calibri"/>
          <w:b/>
          <w:bCs/>
          <w:sz w:val="36"/>
          <w:szCs w:val="36"/>
        </w:rPr>
      </w:pPr>
    </w:p>
    <w:p w14:paraId="0A21B889" w14:textId="7BBBB01D" w:rsidR="0018020A" w:rsidRDefault="0018020A" w:rsidP="009933FD">
      <w:pPr>
        <w:spacing w:line="240" w:lineRule="auto"/>
        <w:jc w:val="center"/>
        <w:rPr>
          <w:rFonts w:ascii="Calibri" w:hAnsi="Calibri" w:cs="Calibri"/>
          <w:b/>
          <w:bCs/>
          <w:sz w:val="36"/>
          <w:szCs w:val="36"/>
        </w:rPr>
      </w:pPr>
      <w:r>
        <w:rPr>
          <w:rFonts w:ascii="Calibri" w:hAnsi="Calibri" w:cs="Calibri"/>
          <w:b/>
          <w:bCs/>
          <w:sz w:val="36"/>
          <w:szCs w:val="36"/>
        </w:rPr>
        <w:t>Invitation to Submit an Expression of Interest to Facilitate Technology Transfer and Establish African Manufacturing of the Lung Flute ECO for Sputum Induction to Support Tuberculosis (TB) Diagnosis in High-Burden Settings</w:t>
      </w:r>
    </w:p>
    <w:p w14:paraId="717AC1E3" w14:textId="77777777" w:rsidR="00CC1815" w:rsidRDefault="00CC1815" w:rsidP="009933FD">
      <w:pPr>
        <w:spacing w:line="240" w:lineRule="auto"/>
        <w:jc w:val="center"/>
        <w:rPr>
          <w:rFonts w:ascii="Calibri" w:hAnsi="Calibri" w:cs="Calibri"/>
          <w:b/>
          <w:bCs/>
          <w:sz w:val="36"/>
          <w:szCs w:val="36"/>
        </w:rPr>
      </w:pPr>
    </w:p>
    <w:p w14:paraId="2FA0040F" w14:textId="1CEEF379" w:rsidR="00CC1815" w:rsidRPr="00A271EB" w:rsidRDefault="00CC1815" w:rsidP="009933FD">
      <w:pPr>
        <w:spacing w:line="240" w:lineRule="auto"/>
        <w:jc w:val="center"/>
        <w:rPr>
          <w:rFonts w:ascii="Calibri" w:hAnsi="Calibri" w:cs="Calibri"/>
          <w:b/>
          <w:bCs/>
          <w:sz w:val="36"/>
          <w:szCs w:val="36"/>
        </w:rPr>
      </w:pPr>
      <w:r>
        <w:rPr>
          <w:rFonts w:ascii="Calibri" w:hAnsi="Calibri" w:cs="Calibri"/>
          <w:b/>
          <w:bCs/>
          <w:sz w:val="36"/>
          <w:szCs w:val="36"/>
        </w:rPr>
        <w:t>FREQUENTLY ASKED QUESTIONS</w:t>
      </w:r>
    </w:p>
    <w:p w14:paraId="0E28DE05" w14:textId="77777777" w:rsidR="00B424DA" w:rsidRPr="00A271EB" w:rsidRDefault="00B424DA" w:rsidP="009933FD">
      <w:pPr>
        <w:spacing w:line="240" w:lineRule="auto"/>
        <w:jc w:val="center"/>
        <w:rPr>
          <w:rFonts w:ascii="Calibri" w:hAnsi="Calibri" w:cs="Calibri"/>
          <w:b/>
          <w:bCs/>
          <w:sz w:val="36"/>
          <w:szCs w:val="36"/>
        </w:rPr>
      </w:pPr>
    </w:p>
    <w:p w14:paraId="5A4E20D0" w14:textId="77777777" w:rsidR="00B424DA" w:rsidRPr="00A271EB" w:rsidRDefault="00B424DA" w:rsidP="009933FD">
      <w:pPr>
        <w:spacing w:line="240" w:lineRule="auto"/>
        <w:jc w:val="center"/>
        <w:rPr>
          <w:rFonts w:ascii="Calibri" w:hAnsi="Calibri" w:cs="Calibri"/>
          <w:b/>
          <w:bCs/>
          <w:sz w:val="36"/>
          <w:szCs w:val="36"/>
        </w:rPr>
      </w:pPr>
    </w:p>
    <w:p w14:paraId="2B413455" w14:textId="1BA89C15" w:rsidR="00B424DA" w:rsidRPr="00967E50" w:rsidRDefault="00B424DA" w:rsidP="009933FD">
      <w:pPr>
        <w:spacing w:line="240" w:lineRule="auto"/>
        <w:jc w:val="center"/>
        <w:rPr>
          <w:rFonts w:ascii="Calibri" w:hAnsi="Calibri" w:cs="Calibri"/>
          <w:b/>
          <w:bCs/>
          <w:sz w:val="36"/>
          <w:szCs w:val="36"/>
        </w:rPr>
      </w:pPr>
      <w:r>
        <w:rPr>
          <w:rFonts w:ascii="Calibri" w:hAnsi="Calibri" w:cs="Calibri"/>
          <w:b/>
          <w:bCs/>
          <w:sz w:val="36"/>
          <w:szCs w:val="36"/>
        </w:rPr>
        <w:t xml:space="preserve">Issue Date: 26 March 2026 </w:t>
      </w:r>
    </w:p>
    <w:p w14:paraId="2B9C374B" w14:textId="72042225" w:rsidR="00B424DA" w:rsidRPr="00A271EB" w:rsidRDefault="00B424DA" w:rsidP="009933FD">
      <w:pPr>
        <w:spacing w:line="240" w:lineRule="auto"/>
        <w:jc w:val="center"/>
        <w:rPr>
          <w:rFonts w:ascii="Calibri" w:hAnsi="Calibri" w:cs="Calibri"/>
          <w:b/>
          <w:bCs/>
          <w:sz w:val="36"/>
          <w:szCs w:val="36"/>
        </w:rPr>
      </w:pPr>
      <w:r>
        <w:rPr>
          <w:rFonts w:ascii="Calibri" w:hAnsi="Calibri" w:cs="Calibri"/>
          <w:b/>
          <w:bCs/>
          <w:sz w:val="36"/>
          <w:szCs w:val="36"/>
        </w:rPr>
        <w:t>Closing Date: 30 April 2026</w:t>
      </w:r>
    </w:p>
    <w:p w14:paraId="57AB3B30" w14:textId="572698DC" w:rsidR="00A11E0B" w:rsidRPr="00A271EB" w:rsidRDefault="009933FD" w:rsidP="009933FD">
      <w:pPr>
        <w:spacing w:line="240" w:lineRule="auto"/>
        <w:rPr>
          <w:rFonts w:ascii="Calibri" w:hAnsi="Calibri" w:cs="Calibri"/>
          <w:b/>
          <w:bCs/>
          <w:sz w:val="24"/>
          <w:szCs w:val="24"/>
        </w:rPr>
      </w:pPr>
      <w:r>
        <w:rPr>
          <w:noProof/>
        </w:rPr>
        <w:drawing>
          <wp:anchor distT="0" distB="0" distL="114300" distR="114300" simplePos="0" relativeHeight="251660288" behindDoc="0" locked="0" layoutInCell="1" allowOverlap="1" wp14:anchorId="00ED23C5" wp14:editId="0163D888">
            <wp:simplePos x="0" y="0"/>
            <wp:positionH relativeFrom="margin">
              <wp:posOffset>121920</wp:posOffset>
            </wp:positionH>
            <wp:positionV relativeFrom="paragraph">
              <wp:posOffset>2792095</wp:posOffset>
            </wp:positionV>
            <wp:extent cx="1079500" cy="403860"/>
            <wp:effectExtent l="0" t="0" r="6350" b="0"/>
            <wp:wrapNone/>
            <wp:docPr id="713482627" name="Picture 2" descr="ITM Webshop for in vitro diagno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M Webshop for in vitro diagnostic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noProof/>
          <w:sz w:val="24"/>
          <w:szCs w:val="24"/>
        </w:rPr>
        <w:drawing>
          <wp:anchor distT="0" distB="0" distL="114300" distR="114300" simplePos="0" relativeHeight="251661312" behindDoc="0" locked="0" layoutInCell="1" allowOverlap="1" wp14:anchorId="26618480" wp14:editId="5FEC2567">
            <wp:simplePos x="0" y="0"/>
            <wp:positionH relativeFrom="margin">
              <wp:posOffset>2179320</wp:posOffset>
            </wp:positionH>
            <wp:positionV relativeFrom="paragraph">
              <wp:posOffset>2790825</wp:posOffset>
            </wp:positionV>
            <wp:extent cx="1492250" cy="417195"/>
            <wp:effectExtent l="0" t="0" r="0" b="1905"/>
            <wp:wrapNone/>
            <wp:docPr id="143871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8496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2250" cy="4171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F248E90" wp14:editId="156C9CBE">
            <wp:simplePos x="0" y="0"/>
            <wp:positionH relativeFrom="margin">
              <wp:posOffset>4526280</wp:posOffset>
            </wp:positionH>
            <wp:positionV relativeFrom="paragraph">
              <wp:posOffset>2850388</wp:posOffset>
            </wp:positionV>
            <wp:extent cx="1200150" cy="306620"/>
            <wp:effectExtent l="0" t="0" r="0" b="0"/>
            <wp:wrapNone/>
            <wp:docPr id="160670538" name="Picture 7" descr="Contact Us | Acoustics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tact Us | Acoustics Innov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30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24"/>
          <w:szCs w:val="24"/>
        </w:rPr>
        <w:br w:type="page"/>
      </w:r>
    </w:p>
    <w:p w14:paraId="13C88F59" w14:textId="02F73324" w:rsidR="00C908BC" w:rsidRPr="00A271EB" w:rsidRDefault="00F558CB" w:rsidP="009933FD">
      <w:pPr>
        <w:spacing w:line="240" w:lineRule="auto"/>
        <w:jc w:val="both"/>
        <w:rPr>
          <w:rFonts w:ascii="Calibri" w:hAnsi="Calibri" w:cs="Calibri"/>
          <w:b/>
          <w:bCs/>
          <w:sz w:val="24"/>
          <w:szCs w:val="24"/>
        </w:rPr>
      </w:pPr>
      <w:r>
        <w:rPr>
          <w:rFonts w:ascii="Calibri" w:hAnsi="Calibri" w:cs="Calibri"/>
          <w:b/>
          <w:bCs/>
          <w:noProof/>
          <w:sz w:val="24"/>
          <w:szCs w:val="24"/>
        </w:rPr>
        <w:lastRenderedPageBreak/>
        <mc:AlternateContent>
          <mc:Choice Requires="wps">
            <w:drawing>
              <wp:anchor distT="45720" distB="45720" distL="114300" distR="114300" simplePos="0" relativeHeight="251658240" behindDoc="0" locked="0" layoutInCell="1" allowOverlap="1" wp14:anchorId="2424459A" wp14:editId="1768BCCF">
                <wp:simplePos x="0" y="0"/>
                <wp:positionH relativeFrom="margin">
                  <wp:align>left</wp:align>
                </wp:positionH>
                <wp:positionV relativeFrom="margin">
                  <wp:posOffset>2576830</wp:posOffset>
                </wp:positionV>
                <wp:extent cx="5829300" cy="62636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263640"/>
                        </a:xfrm>
                        <a:prstGeom prst="rect">
                          <a:avLst/>
                        </a:prstGeom>
                        <a:solidFill>
                          <a:srgbClr val="FFFFFF"/>
                        </a:solidFill>
                        <a:ln w="9525">
                          <a:solidFill>
                            <a:srgbClr val="000000"/>
                          </a:solidFill>
                          <a:miter lim="800000"/>
                          <a:headEnd/>
                          <a:tailEnd/>
                        </a:ln>
                      </wps:spPr>
                      <wps:txbx>
                        <w:txbxContent>
                          <w:p w14:paraId="3E114A59" w14:textId="071B45F9" w:rsidR="00BB19CF" w:rsidRPr="00FF1385" w:rsidRDefault="00BB19CF" w:rsidP="00BB19CF">
                            <w:pPr>
                              <w:pStyle w:val="Default"/>
                              <w:jc w:val="center"/>
                              <w:rPr>
                                <w:b/>
                                <w:bCs/>
                                <w:u w:val="single"/>
                              </w:rPr>
                            </w:pPr>
                            <w:r>
                              <w:rPr>
                                <w:b/>
                                <w:bCs/>
                                <w:u w:val="single"/>
                              </w:rPr>
                              <w:t>Disclaimer Notice and Confidentiality</w:t>
                            </w:r>
                          </w:p>
                          <w:p w14:paraId="17BB026F" w14:textId="77777777" w:rsidR="00BB19CF" w:rsidRPr="00FF1385" w:rsidRDefault="00BB19CF" w:rsidP="00BB19CF">
                            <w:pPr>
                              <w:pStyle w:val="Default"/>
                            </w:pPr>
                          </w:p>
                          <w:p w14:paraId="6CDFDE1C" w14:textId="65C7254B" w:rsidR="00477134" w:rsidRPr="00477134" w:rsidRDefault="00477134" w:rsidP="00477134">
                            <w:pPr>
                              <w:jc w:val="both"/>
                              <w:rPr>
                                <w:rFonts w:ascii="Calibri" w:hAnsi="Calibri" w:cs="Calibri"/>
                                <w:sz w:val="24"/>
                                <w:szCs w:val="24"/>
                              </w:rPr>
                            </w:pPr>
                            <w:r>
                              <w:rPr>
                                <w:rFonts w:ascii="Calibri" w:hAnsi="Calibri" w:cs="Calibri"/>
                                <w:sz w:val="24"/>
                                <w:szCs w:val="24"/>
                              </w:rPr>
                              <w:t>This Call for Expression of Interest (EOI) is issued by the Research Institute of Tuberculosis (RIT), in collaboration with the Aurum Institute and Acoustic Innovations, Co., Ltd., with funding and technical support from the Global Health Innovative Technology (GHIT) Fund. This EOI is intended for planning and design purposes only and should not be regarded as a Call for Proposals or a Request for Tender. Any information submitted in response to this EOI is provided voluntarily and may be reviewed by RIT, Aurum, Acoustic Innovations, and GHIT. None of these organizations shall be under any obligation to procure any of the services, technologies, or products described herein, and the issuance of this EOI shall not be construed as a commitment to enter into any commercial or other business relations. The information submitted may be used by RIT, Aurum, Acoustic Innovations, and GHIT to inform strategic decisions and planning within their respective project portfolios, including but not limited to the design of future Calls for Proposals or other solicitations which RIT, Aurum or Acoustic Innovations may issue.</w:t>
                            </w:r>
                          </w:p>
                          <w:p w14:paraId="2E40C671" w14:textId="052B68EC" w:rsidR="00477134" w:rsidRPr="00477134" w:rsidRDefault="00E805E9" w:rsidP="00E67BAD">
                            <w:pPr>
                              <w:jc w:val="both"/>
                              <w:rPr>
                                <w:rFonts w:ascii="Calibri" w:hAnsi="Calibri" w:cs="Calibri"/>
                                <w:sz w:val="24"/>
                                <w:szCs w:val="24"/>
                              </w:rPr>
                            </w:pPr>
                            <w:r>
                              <w:rPr>
                                <w:rFonts w:ascii="Calibri" w:hAnsi="Calibri" w:cs="Calibri"/>
                                <w:sz w:val="24"/>
                                <w:szCs w:val="24"/>
                              </w:rPr>
                              <w:t>Any information submitted in response to this EOI that needs to be treated as “confidential” should be marked as such on the completed form by the respondent. When information is marked confidential, RIT, Aurum, Acoustic Innovations, and GHIT will take reasonable measures to maintain confidentiality and will not disclose such information outside of the aforementioned organizations without written consent from the respondent. However, this confidentiality obligation shall not apply if the information concerned, or any part of it (a) was known to any of the organizations prior to disclosure by the respondent, (b) was in the public domain at the time of disclosure by the respondent, (c) becomes part of the public domain through no fault of the organizations, or (d) becomes available to the organizations from a third party who is not in breach of any legal obligation of confidentiality to the respondent. Information not marked as confidential will nevertheless not be shared with other entities or individuals outside the organizations without the respondent’s written authorization unless that information has been anonymized or aggregated to deter identification of individual manufacturers (e.g., used without specifying individual Company or Organization names, product names, geographical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4459A" id="_x0000_t202" coordsize="21600,21600" o:spt="202" path="m,l,21600r21600,l21600,xe">
                <v:stroke joinstyle="miter"/>
                <v:path gradientshapeok="t" o:connecttype="rect"/>
              </v:shapetype>
              <v:shape id="Text Box 2" o:spid="_x0000_s1026" type="#_x0000_t202" style="position:absolute;left:0;text-align:left;margin-left:0;margin-top:202.9pt;width:459pt;height:493.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9ljqEgIAACAEAAAOAAAAZHJzL2Uyb0RvYy54bWysk99v2yAQx98n7X9AvC923CRLrDhVly7T pO6H1O0PwBjHaMAxILG7v74HTtOo216m+QFxvuPL3eeO9fWgFTkK5yWYik4nOSXCcGik2Vf0+7fd myUlPjDTMAVGVPRBeHq9ef1q3dtSFNCBaoQjKGJ82duKdiHYMss874RmfgJWGHS24DQLaLp91jjW o7pWWZHni6wH11gHXHiPf29HJ90k/bYVPHxpWy8CURXF3EJaXVrruGabNSv3jtlO8lMa7B+y0Ewa vPQsdcsCIwcnf5PSkjvw0IYJB51B20ouUg1YzTR/Uc19x6xItSAcb8+Y/P+T5Z+P9/arI2F4BwM2 MBXh7R3wH54Y2HbM7MWNc9B3gjV48TQiy3rry9PRiNqXPorU/SdosMnsECAJDa3TkQrWSVAdG/Bw hi6GQDj+nC+L1VWOLo6+RbG4WsxSWzJWPh23zocPAjSJm4o67GqSZ8c7H2I6rHwKibd5ULLZSaWS 4fb1VjlyZDgBu/SlCl6EKUP6iq7mxXwk8FeJPH1/ktAy4CgrqSu6PAexMnJ7b5o0aIFJNe4xZWVO ICO7kWIY6gEDI9AamgdE6mAcWXxiuOnA/aKkx3GtqP95YE5Qoj4abMtqOkNsJCRjNn9boOEuPfWl hxmOUhUNlIzbbUhvIgIzcIPta2UC+5zJKVccw8T79GTinF/aKer5YW8eAQAA//8DAFBLAwQUAAYA CAAAACEAj1T7St8AAAAJAQAADwAAAGRycy9kb3ducmV2LnhtbEyPwU7DMBBE70j8g7VIXBB1mpaS hDgVQgLBDdoKrm68TSLidbDdNPw9ywmOOzOanVeuJ9uLEX3oHCmYzxIQSLUzHTUKdtvH6wxEiJqM 7h2hgm8MsK7Oz0pdGHeiNxw3sRFcQqHQCtoYh0LKULdodZi5AYm9g/NWRz59I43XJy63vUyTZCWt 7og/tHrAhxbrz83RKsiWz+NHeFm8vterQ5/Hq9vx6csrdXkx3d+BiDjFvzD8zufpUPGmvTuSCaJX wCBRwTK5YQC283nGyp5zizxNQVal/E9Q/QAAAP//AwBQSwECLQAUAAYACAAAACEAtoM4kv4AAADh AQAAEwAAAAAAAAAAAAAAAAAAAAAAW0NvbnRlbnRfVHlwZXNdLnhtbFBLAQItABQABgAIAAAAIQA4 /SH/1gAAAJQBAAALAAAAAAAAAAAAAAAAAC8BAABfcmVscy8ucmVsc1BLAQItABQABgAIAAAAIQCR 9ljqEgIAACAEAAAOAAAAAAAAAAAAAAAAAC4CAABkcnMvZTJvRG9jLnhtbFBLAQItABQABgAIAAAA IQCPVPtK3wAAAAkBAAAPAAAAAAAAAAAAAAAAAGwEAABkcnMvZG93bnJldi54bWxQSwUGAAAAAAQA BADzAAAAeAUAAAAA ">
                <v:textbox>
                  <w:txbxContent>
                    <w:p w14:paraId="3E114A59" w14:textId="071B45F9" w:rsidR="00BB19CF" w:rsidRPr="00FF1385" w:rsidRDefault="00BB19CF" w:rsidP="00BB19CF">
                      <w:pPr>
                        <w:pStyle w:val="Default"/>
                        <w:jc w:val="center"/>
                        <w:rPr>
                          <w:b/>
                          <w:bCs/>
                          <w:u w:val="single"/>
                        </w:rPr>
                      </w:pPr>
                      <w:r>
                        <w:rPr>
                          <w:b/>
                          <w:bCs/>
                          <w:u w:val="single"/>
                        </w:rPr>
                        <w:t>Disclaimer Notice and Confidentiality</w:t>
                      </w:r>
                    </w:p>
                    <w:p w14:paraId="17BB026F" w14:textId="77777777" w:rsidR="00BB19CF" w:rsidRPr="00FF1385" w:rsidRDefault="00BB19CF" w:rsidP="00BB19CF">
                      <w:pPr>
                        <w:pStyle w:val="Default"/>
                      </w:pPr>
                    </w:p>
                    <w:p w14:paraId="6CDFDE1C" w14:textId="65C7254B" w:rsidR="00477134" w:rsidRPr="00477134" w:rsidRDefault="00477134" w:rsidP="00477134">
                      <w:pPr>
                        <w:jc w:val="both"/>
                        <w:rPr>
                          <w:rFonts w:ascii="Calibri" w:hAnsi="Calibri" w:cs="Calibri"/>
                          <w:sz w:val="24"/>
                          <w:szCs w:val="24"/>
                        </w:rPr>
                      </w:pPr>
                      <w:r>
                        <w:rPr>
                          <w:rFonts w:ascii="Calibri" w:hAnsi="Calibri" w:cs="Calibri"/>
                          <w:sz w:val="24"/>
                          <w:szCs w:val="24"/>
                        </w:rPr>
                        <w:t>This Call for Expression of Interest (EOI) is issued by the Research Institute of Tuberculosis (RIT), in collaboration with the Aurum Institute and Acoustic Innovations, Co., Ltd., with funding and technical support from the Global Health Innovative Technology (GHIT) Fund. This EOI is intended for planning and design purposes only and should not be regarded as a Call for Proposals or a Request for Tender. Any information submitted in response to this EOI is provided voluntarily and may be reviewed by RIT, Aurum, Acoustic Innovations, and GHIT. None of these organizations shall be under any obligation to procure any of the services, technologies, or products described herein, and the issuance of this EOI shall not be construed as a commitment to enter into any commercial or other business relations. The information submitted may be used by RIT, Aurum, Acoustic Innovations, and GHIT to inform strategic decisions and planning within their respective project portfolios, including but not limited to the design of future Calls for Proposals or other solicitations which RIT, Aurum or Acoustic Innovations may issue.</w:t>
                      </w:r>
                    </w:p>
                    <w:p w14:paraId="2E40C671" w14:textId="052B68EC" w:rsidR="00477134" w:rsidRPr="00477134" w:rsidRDefault="00E805E9" w:rsidP="00E67BAD">
                      <w:pPr>
                        <w:jc w:val="both"/>
                        <w:rPr>
                          <w:rFonts w:ascii="Calibri" w:hAnsi="Calibri" w:cs="Calibri"/>
                          <w:sz w:val="24"/>
                          <w:szCs w:val="24"/>
                        </w:rPr>
                      </w:pPr>
                      <w:r>
                        <w:rPr>
                          <w:rFonts w:ascii="Calibri" w:hAnsi="Calibri" w:cs="Calibri"/>
                          <w:sz w:val="24"/>
                          <w:szCs w:val="24"/>
                        </w:rPr>
                        <w:t>Any information submitted in response to this EOI that needs to be treated as “confidential” should be marked as such on the completed form by the respondent. When information is marked confidential, RIT, Aurum, Acoustic Innovations, and GHIT will take reasonable measures to maintain confidentiality and will not disclose such information outside of the aforementioned organizations without written consent from the respondent. However, this confidentiality obligation shall not apply if the information concerned, or any part of it (a) was known to any of the organizations prior to disclosure by the respondent, (b) was in the public domain at the time of disclosure by the respondent, (c) becomes part of the public domain through no fault of the organizations, or (d) becomes available to the organizations from a third party who is not in breach of any legal obligation of confidentiality to the respondent. Information not marked as confidential will nevertheless not be shared with other entities or individuals outside the organizations without the respondent’s written authorization unless that information has been anonymized or aggregated to deter identification of individual manufacturers (e.g., used without specifying individual Company or Organization names, product names, geographical location).</w:t>
                      </w:r>
                    </w:p>
                  </w:txbxContent>
                </v:textbox>
                <w10:wrap type="square" anchorx="margin" anchory="margin"/>
              </v:shape>
            </w:pict>
          </mc:Fallback>
        </mc:AlternateContent>
      </w:r>
      <w:r>
        <w:rPr>
          <w:rFonts w:ascii="Calibri" w:hAnsi="Calibri" w:cs="Calibri"/>
          <w:b/>
          <w:bCs/>
          <w:sz w:val="24"/>
          <w:szCs w:val="24"/>
        </w:rPr>
        <w:t>List of abbreviations</w:t>
      </w:r>
    </w:p>
    <w:p w14:paraId="4C000001" w14:textId="77777777" w:rsidR="00000000" w:rsidRDefault="00000000" w:rsidP="009933FD">
      <w:pPr>
        <w:spacing w:before="120" w:after="0" w:line="240" w:lineRule="auto"/>
        <w:jc w:val="center"/>
        <w:rPr>
          <w:rFonts w:ascii="Calibri" w:hAnsi="Calibri" w:cs="Calibri"/>
          <w:b/>
          <w:bCs/>
          <w:sz w:val="32"/>
          <w:szCs w:val="32"/>
        </w:rPr>
      </w:pPr>
      <w:r>
        <w:rPr>
          <w:rFonts w:ascii="Calibri" w:hAnsi="Calibri" w:cs="Calibri"/>
          <w:b/>
          <w:bCs/>
          <w:sz w:val="32"/>
          <w:szCs w:val="32"/>
        </w:rPr>
        <w:t>Expression of Interest: Lung Flute ECO Local Manufacturing</w:t>
      </w:r>
    </w:p>
    <w:p w14:paraId="4C000002" w14:textId="77777777" w:rsidR="00000000" w:rsidRDefault="00000000" w:rsidP="009933FD">
      <w:pPr>
        <w:spacing w:line="240" w:lineRule="auto"/>
        <w:jc w:val="center"/>
        <w:rPr>
          <w:rFonts w:ascii="Calibri" w:hAnsi="Calibri" w:cs="Calibri"/>
          <w:i/>
          <w:iCs/>
          <w:sz w:val="24"/>
          <w:szCs w:val="24"/>
        </w:rPr>
      </w:pPr>
      <w:r>
        <w:rPr>
          <w:rFonts w:ascii="Calibri" w:hAnsi="Calibri" w:cs="Calibri"/>
          <w:i/>
          <w:iCs/>
          <w:sz w:val="24"/>
          <w:szCs w:val="24"/>
        </w:rPr>
        <w:t>Invitation to Establish Local African Manufacturing and Technology Transfer</w:t>
      </w:r>
    </w:p>
    <w:p w14:paraId="4C000003" w14:textId="77777777" w:rsidR="00000000" w:rsidRDefault="00000000" w:rsidP="009933FD">
      <w:pPr>
        <w:spacing w:line="240" w:lineRule="auto"/>
        <w:jc w:val="center"/>
        <w:rPr>
          <w:rFonts w:ascii="Calibri" w:hAnsi="Calibri" w:cs="Calibri"/>
          <w:b/>
          <w:bCs/>
          <w:i/>
          <w:iCs/>
          <w:sz w:val="24"/>
          <w:szCs w:val="24"/>
        </w:rPr>
      </w:pPr>
      <w:r>
        <w:rPr>
          <w:rFonts w:ascii="Calibri" w:hAnsi="Calibri" w:cs="Calibri"/>
          <w:b/>
          <w:bCs/>
          <w:i/>
          <w:iCs/>
          <w:sz w:val="24"/>
          <w:szCs w:val="24"/>
        </w:rPr>
        <w:t>Frequently Asked Questions for Prospective Manufacturers</w:t>
      </w:r>
    </w:p>
    <w:tbl>
      <w:tblPr>
        <w:tblStyle w:val="TableGrid"/>
        <w:tblW w:w="9209" w:type="dxa"/>
        <w:tblLook w:val="04A0" w:firstRow="1" w:lastRow="0" w:firstColumn="1" w:lastColumn="0" w:noHBand="0" w:noVBand="1"/>
      </w:tblPr>
      <w:tblGrid>
        <w:gridCol w:w="4600"/>
        <w:gridCol w:w="4609"/>
      </w:tblGrid>
      <w:tr w:rsidR="00763B0B" w14:paraId="4C000004" w14:textId="77777777">
        <w:trPr>
          <w:tblHeader/>
        </w:trPr>
        <w:tc>
          <w:tcPr>
            <w:tcW w:w="4600" w:type="dxa"/>
            <w:shd w:val="clear" w:color="auto" w:fill="1F4E79"/>
          </w:tcPr>
          <w:p w14:paraId="4C000005" w14:textId="77777777" w:rsidR="00000000" w:rsidRDefault="00000000">
            <w:pPr>
              <w:rPr>
                <w:rFonts w:ascii="Calibri" w:hAnsi="Calibri" w:cs="Calibri"/>
                <w:b/>
                <w:bCs/>
                <w:color w:val="FFFFFF"/>
                <w:sz w:val="24"/>
                <w:szCs w:val="24"/>
              </w:rPr>
            </w:pPr>
            <w:r>
              <w:rPr>
                <w:rFonts w:ascii="Calibri" w:hAnsi="Calibri" w:cs="Calibri"/>
                <w:b/>
                <w:bCs/>
                <w:color w:val="FFFFFF"/>
                <w:sz w:val="24"/>
                <w:szCs w:val="24"/>
              </w:rPr>
              <w:t>Issue Date: 26 March 2026</w:t>
            </w:r>
          </w:p>
        </w:tc>
        <w:tc>
          <w:tcPr>
            <w:tcW w:w="4609" w:type="dxa"/>
            <w:shd w:val="clear" w:color="auto" w:fill="1F4E79"/>
          </w:tcPr>
          <w:p w14:paraId="4C000006" w14:textId="77777777" w:rsidR="00000000" w:rsidRDefault="00000000">
            <w:pPr>
              <w:rPr>
                <w:rFonts w:ascii="Calibri" w:hAnsi="Calibri" w:cs="Calibri"/>
                <w:b/>
                <w:bCs/>
                <w:color w:val="FFFFFF"/>
                <w:sz w:val="24"/>
                <w:szCs w:val="24"/>
              </w:rPr>
            </w:pPr>
            <w:r>
              <w:rPr>
                <w:rFonts w:ascii="Calibri" w:hAnsi="Calibri" w:cs="Calibri"/>
                <w:b/>
                <w:bCs/>
                <w:color w:val="FFFFFF"/>
                <w:sz w:val="24"/>
                <w:szCs w:val="24"/>
              </w:rPr>
              <w:t>Submissions Due: 15 April 2026 | Closing: 30 April 2026</w:t>
            </w:r>
          </w:p>
        </w:tc>
      </w:tr>
    </w:tbl>
    <w:p w14:paraId="4C000007" w14:textId="77777777" w:rsidR="00000000" w:rsidRDefault="00000000" w:rsidP="009933FD">
      <w:pPr>
        <w:spacing w:line="240" w:lineRule="auto"/>
        <w:rPr>
          <w:rFonts w:ascii="Calibri" w:hAnsi="Calibri" w:cs="Calibri"/>
          <w:sz w:val="24"/>
          <w:szCs w:val="24"/>
        </w:rPr>
      </w:pPr>
    </w:p>
    <w:p w14:paraId="4C000087"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1. What is the Lung Flute ECO and what problem does it solve?</w:t>
      </w:r>
    </w:p>
    <w:p w14:paraId="4C000021"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 xml:space="preserve">The Lung Flute ECO (LFE) is a disposable, paper-based, handheld oscillatory positive expiratory pressure (OPEP) device that uses low-frequency acoustic waves to loosen and mobilise </w:t>
      </w:r>
      <w:r>
        <w:rPr>
          <w:rFonts w:ascii="Calibri" w:hAnsi="Calibri" w:cs="Calibri"/>
          <w:sz w:val="24"/>
          <w:szCs w:val="24"/>
        </w:rPr>
        <w:lastRenderedPageBreak/>
        <w:t>secretions from the lower respiratory tract, enabling patients to produce sputum for diagnostic testing. It consists of a paper tube body (approximately 30 cm), a thin Mylar plastic reed that vibrates on exhalation, and a mouthpiece with no electronics, no sterile fill, and no complex assembly.</w:t>
      </w:r>
    </w:p>
    <w:p w14:paraId="4C000022"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device addresses a critical bottleneck in tuberculosis (TB) diagnosis: sputum scarcity. An estimated 65% of children and 23% of adults with presumptive TB cannot produce sputum spontaneously. Sputum-based molecular testing including Xpert MTB/RIF Ultra remains the global cornerstone of TB diagnosis, yet missing samples continue to undermine case detection at scale. The LFE was designed to respond to the needs of people who cannot access sophisticated hospital infrastructure or who are fearful of expensi</w:t>
      </w:r>
      <w:r>
        <w:rPr>
          <w:rFonts w:ascii="Calibri" w:hAnsi="Calibri" w:cs="Calibri"/>
          <w:sz w:val="24"/>
          <w:szCs w:val="24"/>
        </w:rPr>
        <w:t>ve or invasive procedures.</w:t>
      </w:r>
    </w:p>
    <w:p w14:paraId="4C000088" w14:textId="77777777" w:rsidR="00000000" w:rsidRDefault="00000000" w:rsidP="009933FD">
      <w:pPr>
        <w:spacing w:line="240" w:lineRule="auto"/>
        <w:rPr>
          <w:rFonts w:ascii="Calibri" w:hAnsi="Calibri" w:cs="Calibri"/>
          <w:sz w:val="24"/>
          <w:szCs w:val="24"/>
        </w:rPr>
      </w:pPr>
    </w:p>
    <w:p w14:paraId="4C000089"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2. What is the clinical evidence base for the Lung Flute ECO?</w:t>
      </w:r>
    </w:p>
    <w:p w14:paraId="4C000023"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LFE has been evaluated in over 10,000 individuals at risk for TB across multiple peer-reviewed studies. Key results from the GHIT-funded 3V Trial (2021–2023, n=8,567 adults and 565 children):</w:t>
      </w:r>
    </w:p>
    <w:p w14:paraId="4C000024"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LFE increased testable sample production (≥1 mL) by 6.5% overall</w:t>
      </w:r>
    </w:p>
    <w:p w14:paraId="4C000025"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In sputum-scarce participants, LFE increased testability by 62% in adults and 20.3% in children aged 6–14 years</w:t>
      </w:r>
    </w:p>
    <w:p w14:paraId="4C000026"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LFE boosted positive Xpert MTB/RIF Ultra results by a net 3.4% in paired tests (9.2% spontaneous expectoration vs 9.8% LFE)</w:t>
      </w:r>
    </w:p>
    <w:p w14:paraId="4C000027"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LFE increased diagnostic yield by 12.1% among adults who could not expectorate or whose sputum tested negative (OR 2.26, 95% CI 1.12–4.68)</w:t>
      </w:r>
    </w:p>
    <w:p w14:paraId="4C000028"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Adverse events in adults: 0.5% (below the 3% TPP threshold); in children: 6.0% temporary self-limiting cough (within the minimally acceptable 10% threshold)</w:t>
      </w:r>
    </w:p>
    <w:p w14:paraId="4C000029"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LFE was well received by adults and acceptable to caregivers and children</w:t>
      </w:r>
    </w:p>
    <w:p w14:paraId="4C00002A"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Phase 1 findings are published in ERJ Open Research (2024; 10(3):00902-2023). The device has received positive technical review by WHO (Compendium of Innovative Health Technologies, 2012), FDA 510(k) clearance for equivalence for sputum clearance in COPD, and inclusion in Japan’s national TB guidelines and insurance reimbursement system. Two US patents (6702769B1, 6984214B2) have expired, facilitating open manufacturing.</w:t>
      </w:r>
    </w:p>
    <w:p w14:paraId="4C00002B"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ongoing FLUTTE project (GHIT G2024-105R1) is conducting four additional multi-country randomised controlled trials across South Africa, Mozambique and Uganda (n=~8,600 participants) to generate evidence for WHO guideline development by 2027–2028.</w:t>
      </w:r>
    </w:p>
    <w:p w14:paraId="4C00008A" w14:textId="77777777" w:rsidR="00000000" w:rsidRDefault="00000000" w:rsidP="009933FD">
      <w:pPr>
        <w:spacing w:line="240" w:lineRule="auto"/>
        <w:rPr>
          <w:rFonts w:ascii="Calibri" w:hAnsi="Calibri" w:cs="Calibri"/>
          <w:sz w:val="24"/>
          <w:szCs w:val="24"/>
        </w:rPr>
      </w:pPr>
    </w:p>
    <w:p w14:paraId="4C00008B"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3. What is the market opportunity in Africa?</w:t>
      </w:r>
    </w:p>
    <w:p w14:paraId="4C00002C"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following estimates are grounded in African TB epidemiological data (WHO Global TB Report 2025) and peer-reviewed sputum scarcity literature. Two scenarios are modelled using a 3× conservative and 4× optimistic presumptive-to-confirmed TB case testing multiplier, reflecting real-world programme variability. Africa accounts for approximately 23% of global TB cases, with an estimated 2.62 million new incidence cases in 2024, of which 89% are pulmonary. Applying age-specific sputum scarcity rates (23% of a</w:t>
      </w:r>
      <w:r>
        <w:rPr>
          <w:rFonts w:ascii="Calibri" w:hAnsi="Calibri" w:cs="Calibri"/>
          <w:sz w:val="24"/>
          <w:szCs w:val="24"/>
        </w:rPr>
        <w:t xml:space="preserve">dults, 65% of children), the </w:t>
      </w:r>
      <w:r>
        <w:rPr>
          <w:rFonts w:ascii="Calibri" w:hAnsi="Calibri" w:cs="Calibri"/>
          <w:sz w:val="24"/>
          <w:szCs w:val="24"/>
        </w:rPr>
        <w:lastRenderedPageBreak/>
        <w:t>projected annual LFE need across Africa ranges from approximately 114,000 to 171,000 units per year over the 2027–2030 period, as shown below.</w:t>
      </w:r>
    </w:p>
    <w:tbl>
      <w:tblPr>
        <w:tblStyle w:val="TableGrid"/>
        <w:tblW w:w="9209" w:type="dxa"/>
        <w:tblLook w:val="04A0" w:firstRow="1" w:lastRow="0" w:firstColumn="1" w:lastColumn="0" w:noHBand="0" w:noVBand="1"/>
      </w:tblPr>
      <w:tblGrid>
        <w:gridCol w:w="1200"/>
        <w:gridCol w:w="2500"/>
        <w:gridCol w:w="2500"/>
        <w:gridCol w:w="3009"/>
      </w:tblGrid>
      <w:tr w:rsidR="00763B0B" w14:paraId="4C000008" w14:textId="77777777">
        <w:trPr>
          <w:tblHeader/>
        </w:trPr>
        <w:tc>
          <w:tcPr>
            <w:tcW w:w="1200" w:type="dxa"/>
            <w:shd w:val="clear" w:color="auto" w:fill="1F4E79"/>
          </w:tcPr>
          <w:p w14:paraId="4C000009" w14:textId="77777777" w:rsidR="00000000" w:rsidRDefault="00000000">
            <w:pPr>
              <w:rPr>
                <w:rFonts w:ascii="Calibri" w:hAnsi="Calibri" w:cs="Calibri"/>
                <w:b/>
                <w:bCs/>
                <w:color w:val="FFFFFF"/>
                <w:sz w:val="20"/>
                <w:szCs w:val="20"/>
              </w:rPr>
            </w:pPr>
            <w:r>
              <w:rPr>
                <w:rFonts w:ascii="Calibri" w:hAnsi="Calibri" w:cs="Calibri"/>
                <w:b/>
                <w:bCs/>
                <w:color w:val="FFFFFF"/>
                <w:sz w:val="20"/>
                <w:szCs w:val="20"/>
              </w:rPr>
              <w:t>Year</w:t>
            </w:r>
          </w:p>
        </w:tc>
        <w:tc>
          <w:tcPr>
            <w:tcW w:w="2500" w:type="dxa"/>
            <w:shd w:val="clear" w:color="auto" w:fill="1F4E79"/>
          </w:tcPr>
          <w:p w14:paraId="4C00000A" w14:textId="77777777" w:rsidR="00000000" w:rsidRDefault="00000000">
            <w:pPr>
              <w:rPr>
                <w:rFonts w:ascii="Calibri" w:hAnsi="Calibri" w:cs="Calibri"/>
                <w:b/>
                <w:bCs/>
                <w:color w:val="FFFFFF"/>
                <w:sz w:val="20"/>
                <w:szCs w:val="20"/>
              </w:rPr>
            </w:pPr>
            <w:r>
              <w:rPr>
                <w:rFonts w:ascii="Calibri" w:hAnsi="Calibri" w:cs="Calibri"/>
                <w:b/>
                <w:bCs/>
                <w:color w:val="FFFFFF"/>
                <w:sz w:val="20"/>
                <w:szCs w:val="20"/>
              </w:rPr>
              <w:t>Conservative (3× multiplier)</w:t>
            </w:r>
          </w:p>
        </w:tc>
        <w:tc>
          <w:tcPr>
            <w:tcW w:w="2500" w:type="dxa"/>
            <w:shd w:val="clear" w:color="auto" w:fill="1F4E79"/>
          </w:tcPr>
          <w:p w14:paraId="4C00000B" w14:textId="77777777" w:rsidR="00000000" w:rsidRDefault="00000000">
            <w:pPr>
              <w:rPr>
                <w:rFonts w:ascii="Calibri" w:hAnsi="Calibri" w:cs="Calibri"/>
                <w:b/>
                <w:bCs/>
                <w:color w:val="FFFFFF"/>
                <w:sz w:val="20"/>
                <w:szCs w:val="20"/>
              </w:rPr>
            </w:pPr>
            <w:r>
              <w:rPr>
                <w:rFonts w:ascii="Calibri" w:hAnsi="Calibri" w:cs="Calibri"/>
                <w:b/>
                <w:bCs/>
                <w:color w:val="FFFFFF"/>
                <w:sz w:val="20"/>
                <w:szCs w:val="20"/>
              </w:rPr>
              <w:t>Optimistic (4× multiplier)</w:t>
            </w:r>
          </w:p>
        </w:tc>
        <w:tc>
          <w:tcPr>
            <w:tcW w:w="3009" w:type="dxa"/>
            <w:shd w:val="clear" w:color="auto" w:fill="1F4E79"/>
          </w:tcPr>
          <w:p w14:paraId="4C00000C" w14:textId="77777777" w:rsidR="00000000" w:rsidRDefault="00000000">
            <w:pPr>
              <w:rPr>
                <w:rFonts w:ascii="Calibri" w:hAnsi="Calibri" w:cs="Calibri"/>
                <w:b/>
                <w:bCs/>
                <w:color w:val="FFFFFF"/>
                <w:sz w:val="20"/>
                <w:szCs w:val="20"/>
              </w:rPr>
            </w:pPr>
            <w:r>
              <w:rPr>
                <w:rFonts w:ascii="Calibri" w:hAnsi="Calibri" w:cs="Calibri"/>
                <w:b/>
                <w:bCs/>
                <w:color w:val="FFFFFF"/>
                <w:sz w:val="20"/>
                <w:szCs w:val="20"/>
              </w:rPr>
              <w:t>Indicative Range (units/year)</w:t>
            </w:r>
          </w:p>
        </w:tc>
      </w:tr>
      <w:tr w:rsidR="00763B0B" w14:paraId="4C00000D" w14:textId="77777777">
        <w:tc>
          <w:tcPr>
            <w:tcW w:w="1200" w:type="dxa"/>
          </w:tcPr>
          <w:p w14:paraId="4C00000E" w14:textId="77777777" w:rsidR="00000000" w:rsidRDefault="00000000">
            <w:pPr>
              <w:rPr>
                <w:rFonts w:ascii="Calibri" w:hAnsi="Calibri" w:cs="Calibri"/>
                <w:sz w:val="20"/>
                <w:szCs w:val="20"/>
              </w:rPr>
            </w:pPr>
            <w:r>
              <w:rPr>
                <w:rFonts w:ascii="Calibri" w:hAnsi="Calibri" w:cs="Calibri"/>
                <w:sz w:val="20"/>
                <w:szCs w:val="20"/>
              </w:rPr>
              <w:t>2027</w:t>
            </w:r>
          </w:p>
        </w:tc>
        <w:tc>
          <w:tcPr>
            <w:tcW w:w="2500" w:type="dxa"/>
          </w:tcPr>
          <w:p w14:paraId="4C00000F" w14:textId="77777777" w:rsidR="00000000" w:rsidRDefault="00000000">
            <w:pPr>
              <w:rPr>
                <w:rFonts w:ascii="Calibri" w:hAnsi="Calibri" w:cs="Calibri"/>
                <w:sz w:val="20"/>
                <w:szCs w:val="20"/>
              </w:rPr>
            </w:pPr>
            <w:r>
              <w:rPr>
                <w:rFonts w:ascii="Calibri" w:hAnsi="Calibri" w:cs="Calibri"/>
                <w:sz w:val="20"/>
                <w:szCs w:val="20"/>
              </w:rPr>
              <w:t>120,615</w:t>
            </w:r>
          </w:p>
        </w:tc>
        <w:tc>
          <w:tcPr>
            <w:tcW w:w="2500" w:type="dxa"/>
          </w:tcPr>
          <w:p w14:paraId="4C000010" w14:textId="77777777" w:rsidR="00000000" w:rsidRDefault="00000000">
            <w:pPr>
              <w:rPr>
                <w:rFonts w:ascii="Calibri" w:hAnsi="Calibri" w:cs="Calibri"/>
                <w:sz w:val="20"/>
                <w:szCs w:val="20"/>
              </w:rPr>
            </w:pPr>
            <w:r>
              <w:rPr>
                <w:rFonts w:ascii="Calibri" w:hAnsi="Calibri" w:cs="Calibri"/>
                <w:sz w:val="20"/>
                <w:szCs w:val="20"/>
              </w:rPr>
              <w:t>160,820</w:t>
            </w:r>
          </w:p>
        </w:tc>
        <w:tc>
          <w:tcPr>
            <w:tcW w:w="3009" w:type="dxa"/>
            <w:shd w:val="clear" w:color="auto" w:fill="EBF3FB"/>
          </w:tcPr>
          <w:p w14:paraId="4C000011" w14:textId="77777777" w:rsidR="00000000" w:rsidRDefault="00000000">
            <w:pPr>
              <w:rPr>
                <w:rFonts w:ascii="Calibri" w:hAnsi="Calibri" w:cs="Calibri"/>
                <w:b/>
                <w:bCs/>
                <w:sz w:val="20"/>
                <w:szCs w:val="20"/>
              </w:rPr>
            </w:pPr>
            <w:r>
              <w:rPr>
                <w:rFonts w:ascii="Calibri" w:hAnsi="Calibri" w:cs="Calibri"/>
                <w:b/>
                <w:bCs/>
                <w:sz w:val="20"/>
                <w:szCs w:val="20"/>
              </w:rPr>
              <w:t>120,600 – 160,800</w:t>
            </w:r>
          </w:p>
        </w:tc>
      </w:tr>
      <w:tr w:rsidR="00763B0B" w14:paraId="4C000012" w14:textId="77777777">
        <w:tc>
          <w:tcPr>
            <w:tcW w:w="1200" w:type="dxa"/>
          </w:tcPr>
          <w:p w14:paraId="4C000013" w14:textId="77777777" w:rsidR="00000000" w:rsidRDefault="00000000">
            <w:pPr>
              <w:rPr>
                <w:rFonts w:ascii="Calibri" w:hAnsi="Calibri" w:cs="Calibri"/>
                <w:sz w:val="20"/>
                <w:szCs w:val="20"/>
              </w:rPr>
            </w:pPr>
            <w:r>
              <w:rPr>
                <w:rFonts w:ascii="Calibri" w:hAnsi="Calibri" w:cs="Calibri"/>
                <w:sz w:val="20"/>
                <w:szCs w:val="20"/>
              </w:rPr>
              <w:t>2028</w:t>
            </w:r>
          </w:p>
        </w:tc>
        <w:tc>
          <w:tcPr>
            <w:tcW w:w="2500" w:type="dxa"/>
          </w:tcPr>
          <w:p w14:paraId="4C000014" w14:textId="77777777" w:rsidR="00000000" w:rsidRDefault="00000000">
            <w:pPr>
              <w:rPr>
                <w:rFonts w:ascii="Calibri" w:hAnsi="Calibri" w:cs="Calibri"/>
                <w:sz w:val="20"/>
                <w:szCs w:val="20"/>
              </w:rPr>
            </w:pPr>
            <w:r>
              <w:rPr>
                <w:rFonts w:ascii="Calibri" w:hAnsi="Calibri" w:cs="Calibri"/>
                <w:sz w:val="20"/>
                <w:szCs w:val="20"/>
              </w:rPr>
              <w:t>128,068</w:t>
            </w:r>
          </w:p>
        </w:tc>
        <w:tc>
          <w:tcPr>
            <w:tcW w:w="2500" w:type="dxa"/>
          </w:tcPr>
          <w:p w14:paraId="4C000015" w14:textId="77777777" w:rsidR="00000000" w:rsidRDefault="00000000">
            <w:pPr>
              <w:rPr>
                <w:rFonts w:ascii="Calibri" w:hAnsi="Calibri" w:cs="Calibri"/>
                <w:sz w:val="20"/>
                <w:szCs w:val="20"/>
              </w:rPr>
            </w:pPr>
            <w:r>
              <w:rPr>
                <w:rFonts w:ascii="Calibri" w:hAnsi="Calibri" w:cs="Calibri"/>
                <w:sz w:val="20"/>
                <w:szCs w:val="20"/>
              </w:rPr>
              <w:t>170,758</w:t>
            </w:r>
          </w:p>
        </w:tc>
        <w:tc>
          <w:tcPr>
            <w:tcW w:w="3009" w:type="dxa"/>
            <w:shd w:val="clear" w:color="auto" w:fill="EBF3FB"/>
          </w:tcPr>
          <w:p w14:paraId="4C000016" w14:textId="77777777" w:rsidR="00000000" w:rsidRDefault="00000000">
            <w:pPr>
              <w:rPr>
                <w:rFonts w:ascii="Calibri" w:hAnsi="Calibri" w:cs="Calibri"/>
                <w:b/>
                <w:bCs/>
                <w:sz w:val="20"/>
                <w:szCs w:val="20"/>
              </w:rPr>
            </w:pPr>
            <w:r>
              <w:rPr>
                <w:rFonts w:ascii="Calibri" w:hAnsi="Calibri" w:cs="Calibri"/>
                <w:b/>
                <w:bCs/>
                <w:sz w:val="20"/>
                <w:szCs w:val="20"/>
              </w:rPr>
              <w:t>128,100 – 170,800</w:t>
            </w:r>
          </w:p>
        </w:tc>
      </w:tr>
      <w:tr w:rsidR="00763B0B" w14:paraId="4C000017" w14:textId="77777777">
        <w:tc>
          <w:tcPr>
            <w:tcW w:w="1200" w:type="dxa"/>
          </w:tcPr>
          <w:p w14:paraId="4C000018" w14:textId="77777777" w:rsidR="00000000" w:rsidRDefault="00000000">
            <w:pPr>
              <w:rPr>
                <w:rFonts w:ascii="Calibri" w:hAnsi="Calibri" w:cs="Calibri"/>
                <w:sz w:val="20"/>
                <w:szCs w:val="20"/>
              </w:rPr>
            </w:pPr>
            <w:r>
              <w:rPr>
                <w:rFonts w:ascii="Calibri" w:hAnsi="Calibri" w:cs="Calibri"/>
                <w:sz w:val="20"/>
                <w:szCs w:val="20"/>
              </w:rPr>
              <w:t>2029</w:t>
            </w:r>
          </w:p>
        </w:tc>
        <w:tc>
          <w:tcPr>
            <w:tcW w:w="2500" w:type="dxa"/>
          </w:tcPr>
          <w:p w14:paraId="4C000019" w14:textId="77777777" w:rsidR="00000000" w:rsidRDefault="00000000">
            <w:pPr>
              <w:rPr>
                <w:rFonts w:ascii="Calibri" w:hAnsi="Calibri" w:cs="Calibri"/>
                <w:sz w:val="20"/>
                <w:szCs w:val="20"/>
              </w:rPr>
            </w:pPr>
            <w:r>
              <w:rPr>
                <w:rFonts w:ascii="Calibri" w:hAnsi="Calibri" w:cs="Calibri"/>
                <w:sz w:val="20"/>
                <w:szCs w:val="20"/>
              </w:rPr>
              <w:t>121,025</w:t>
            </w:r>
          </w:p>
        </w:tc>
        <w:tc>
          <w:tcPr>
            <w:tcW w:w="2500" w:type="dxa"/>
          </w:tcPr>
          <w:p w14:paraId="4C00001A" w14:textId="77777777" w:rsidR="00000000" w:rsidRDefault="00000000">
            <w:pPr>
              <w:rPr>
                <w:rFonts w:ascii="Calibri" w:hAnsi="Calibri" w:cs="Calibri"/>
                <w:sz w:val="20"/>
                <w:szCs w:val="20"/>
              </w:rPr>
            </w:pPr>
            <w:r>
              <w:rPr>
                <w:rFonts w:ascii="Calibri" w:hAnsi="Calibri" w:cs="Calibri"/>
                <w:sz w:val="20"/>
                <w:szCs w:val="20"/>
              </w:rPr>
              <w:t>161,366</w:t>
            </w:r>
          </w:p>
        </w:tc>
        <w:tc>
          <w:tcPr>
            <w:tcW w:w="3009" w:type="dxa"/>
            <w:shd w:val="clear" w:color="auto" w:fill="EBF3FB"/>
          </w:tcPr>
          <w:p w14:paraId="4C00001B" w14:textId="77777777" w:rsidR="00000000" w:rsidRDefault="00000000">
            <w:pPr>
              <w:rPr>
                <w:rFonts w:ascii="Calibri" w:hAnsi="Calibri" w:cs="Calibri"/>
                <w:b/>
                <w:bCs/>
                <w:sz w:val="20"/>
                <w:szCs w:val="20"/>
              </w:rPr>
            </w:pPr>
            <w:r>
              <w:rPr>
                <w:rFonts w:ascii="Calibri" w:hAnsi="Calibri" w:cs="Calibri"/>
                <w:b/>
                <w:bCs/>
                <w:sz w:val="20"/>
                <w:szCs w:val="20"/>
              </w:rPr>
              <w:t>121,000 – 161,400</w:t>
            </w:r>
          </w:p>
        </w:tc>
      </w:tr>
      <w:tr w:rsidR="00763B0B" w14:paraId="4C00001C" w14:textId="77777777">
        <w:tc>
          <w:tcPr>
            <w:tcW w:w="1200" w:type="dxa"/>
          </w:tcPr>
          <w:p w14:paraId="4C00001D" w14:textId="77777777" w:rsidR="00000000" w:rsidRDefault="00000000">
            <w:pPr>
              <w:rPr>
                <w:rFonts w:ascii="Calibri" w:hAnsi="Calibri" w:cs="Calibri"/>
                <w:sz w:val="20"/>
                <w:szCs w:val="20"/>
              </w:rPr>
            </w:pPr>
            <w:r>
              <w:rPr>
                <w:rFonts w:ascii="Calibri" w:hAnsi="Calibri" w:cs="Calibri"/>
                <w:sz w:val="20"/>
                <w:szCs w:val="20"/>
              </w:rPr>
              <w:t>2030</w:t>
            </w:r>
          </w:p>
        </w:tc>
        <w:tc>
          <w:tcPr>
            <w:tcW w:w="2500" w:type="dxa"/>
          </w:tcPr>
          <w:p w14:paraId="4C00001E" w14:textId="77777777" w:rsidR="00000000" w:rsidRDefault="00000000">
            <w:pPr>
              <w:rPr>
                <w:rFonts w:ascii="Calibri" w:hAnsi="Calibri" w:cs="Calibri"/>
                <w:sz w:val="20"/>
                <w:szCs w:val="20"/>
              </w:rPr>
            </w:pPr>
            <w:r>
              <w:rPr>
                <w:rFonts w:ascii="Calibri" w:hAnsi="Calibri" w:cs="Calibri"/>
                <w:sz w:val="20"/>
                <w:szCs w:val="20"/>
              </w:rPr>
              <w:t>114,368</w:t>
            </w:r>
          </w:p>
        </w:tc>
        <w:tc>
          <w:tcPr>
            <w:tcW w:w="2500" w:type="dxa"/>
          </w:tcPr>
          <w:p w14:paraId="4C00001F" w14:textId="77777777" w:rsidR="00000000" w:rsidRDefault="00000000">
            <w:pPr>
              <w:rPr>
                <w:rFonts w:ascii="Calibri" w:hAnsi="Calibri" w:cs="Calibri"/>
                <w:sz w:val="20"/>
                <w:szCs w:val="20"/>
              </w:rPr>
            </w:pPr>
            <w:r>
              <w:rPr>
                <w:rFonts w:ascii="Calibri" w:hAnsi="Calibri" w:cs="Calibri"/>
                <w:sz w:val="20"/>
                <w:szCs w:val="20"/>
              </w:rPr>
              <w:t>152,491</w:t>
            </w:r>
          </w:p>
        </w:tc>
        <w:tc>
          <w:tcPr>
            <w:tcW w:w="3009" w:type="dxa"/>
            <w:shd w:val="clear" w:color="auto" w:fill="EBF3FB"/>
          </w:tcPr>
          <w:p w14:paraId="4C000020" w14:textId="77777777" w:rsidR="00000000" w:rsidRDefault="00000000">
            <w:pPr>
              <w:rPr>
                <w:rFonts w:ascii="Calibri" w:hAnsi="Calibri" w:cs="Calibri"/>
                <w:b/>
                <w:bCs/>
                <w:sz w:val="20"/>
                <w:szCs w:val="20"/>
              </w:rPr>
            </w:pPr>
            <w:r>
              <w:rPr>
                <w:rFonts w:ascii="Calibri" w:hAnsi="Calibri" w:cs="Calibri"/>
                <w:b/>
                <w:bCs/>
                <w:sz w:val="20"/>
                <w:szCs w:val="20"/>
              </w:rPr>
              <w:t>114,400 – 152,500</w:t>
            </w:r>
          </w:p>
        </w:tc>
      </w:tr>
    </w:tbl>
    <w:p w14:paraId="4C00002D" w14:textId="77777777" w:rsidR="00000000" w:rsidRDefault="00000000" w:rsidP="009933FD">
      <w:pPr>
        <w:spacing w:line="240" w:lineRule="auto"/>
        <w:rPr>
          <w:rFonts w:ascii="Calibri" w:hAnsi="Calibri" w:cs="Calibri"/>
          <w:sz w:val="24"/>
          <w:szCs w:val="24"/>
        </w:rPr>
      </w:pPr>
    </w:p>
    <w:p w14:paraId="4C00002E"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In the near term (first 3–5 years), actual uptake is expected to be gradual. Under a realistic adoption trajectory of 5–25%, this translates to an initial addressable market of approximately 6,000 to 40,000 units annually. At indicative price points of USD 0.30–1.00 per unit, this corresponds to an estimated annual revenue opportunity of approximately USD 1,800 to USD 40,000 in early-stage adoption scenarios. As adoption scales through policy inclusion, procurement cycles, and programme integration, the mar</w:t>
      </w:r>
      <w:r>
        <w:rPr>
          <w:rFonts w:ascii="Calibri" w:hAnsi="Calibri" w:cs="Calibri"/>
          <w:sz w:val="24"/>
          <w:szCs w:val="24"/>
        </w:rPr>
        <w:t>ket has the potential to expand toward the full addressable need across Africa.</w:t>
      </w:r>
    </w:p>
    <w:p w14:paraId="4C00002F"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Adjacent non-TB respiratory markets — including COPD (~27 million affected in Africa), bronchiectasis (~3–5 million), post-TB lung disease (~1.7 million new cases per year), non-severe pneumonia, and paediatric ARI — represent a further indicative potential of 2–7 million additional device-uses per year in Africa at partial penetration, providing commercial sustainability beyond the TB indication.</w:t>
      </w:r>
    </w:p>
    <w:p w14:paraId="4C00008C" w14:textId="77777777" w:rsidR="00000000" w:rsidRDefault="00000000" w:rsidP="009933FD">
      <w:pPr>
        <w:spacing w:line="240" w:lineRule="auto"/>
        <w:rPr>
          <w:rFonts w:ascii="Calibri" w:hAnsi="Calibri" w:cs="Calibri"/>
          <w:sz w:val="24"/>
          <w:szCs w:val="24"/>
        </w:rPr>
      </w:pPr>
    </w:p>
    <w:p w14:paraId="4C00008D"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4. What are the product requirements manufacturers must meet?</w:t>
      </w:r>
    </w:p>
    <w:p w14:paraId="4C000030"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Manufacturers are expected to produce the LFE to the specifications provided by Acoustic Innovations (AI) under a technology transfer arrangement. The Target Product Profile (TPP), aligned with WHO guidance, includes the following key requirements:</w:t>
      </w:r>
    </w:p>
    <w:p w14:paraId="4C000031" w14:textId="77777777" w:rsidR="00000000" w:rsidRDefault="00000000" w:rsidP="009933FD">
      <w:pPr>
        <w:spacing w:before="100" w:after="40" w:line="240" w:lineRule="auto"/>
        <w:jc w:val="both"/>
        <w:rPr>
          <w:rFonts w:ascii="Calibri" w:hAnsi="Calibri" w:cs="Calibri"/>
          <w:b/>
          <w:bCs/>
          <w:sz w:val="24"/>
          <w:szCs w:val="24"/>
        </w:rPr>
      </w:pPr>
      <w:r>
        <w:rPr>
          <w:rFonts w:ascii="Calibri" w:hAnsi="Calibri" w:cs="Calibri"/>
          <w:b/>
          <w:bCs/>
          <w:sz w:val="24"/>
          <w:szCs w:val="24"/>
        </w:rPr>
        <w:t>Performance:</w:t>
      </w:r>
    </w:p>
    <w:p w14:paraId="4C000032"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Optimal: ≥15% increase in testable sputum (≥1 mL) in sputum-scarce adults vs spontaneous expectoration; net ≥20% increase in sputum-scarce children</w:t>
      </w:r>
    </w:p>
    <w:p w14:paraId="4C000033"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Minimal: ≥10% increase in sputum-scarce adults; ≥5% increase in sputum-scarce children</w:t>
      </w:r>
    </w:p>
    <w:p w14:paraId="4C000034"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Time to specimen: ≤10 minutes (optimal), ≤20 minutes (minimal)</w:t>
      </w:r>
    </w:p>
    <w:p w14:paraId="4C000035"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Tolerability: &lt;5% of users report temporary, self-resolving discomfort (optimal); &lt;10% (minimal)</w:t>
      </w:r>
    </w:p>
    <w:p w14:paraId="4C000036"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Acceptability: &gt;80% of user types and healthcare workers perceive LFE as easy, acceptable, and worthwhile</w:t>
      </w:r>
    </w:p>
    <w:p w14:paraId="4C000037" w14:textId="77777777" w:rsidR="00000000" w:rsidRDefault="00000000" w:rsidP="009933FD">
      <w:pPr>
        <w:spacing w:before="100" w:after="40" w:line="240" w:lineRule="auto"/>
        <w:jc w:val="both"/>
        <w:rPr>
          <w:rFonts w:ascii="Calibri" w:hAnsi="Calibri" w:cs="Calibri"/>
          <w:b/>
          <w:bCs/>
          <w:sz w:val="24"/>
          <w:szCs w:val="24"/>
        </w:rPr>
      </w:pPr>
      <w:r>
        <w:rPr>
          <w:rFonts w:ascii="Calibri" w:hAnsi="Calibri" w:cs="Calibri"/>
          <w:b/>
          <w:bCs/>
          <w:sz w:val="24"/>
          <w:szCs w:val="24"/>
        </w:rPr>
        <w:t>Design specifications:</w:t>
      </w:r>
    </w:p>
    <w:p w14:paraId="4C000038"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Paper tube body (~30 cm) made from medical-grade or sterile-grade paper/cardboard</w:t>
      </w:r>
    </w:p>
    <w:p w14:paraId="4C000039"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Internal Mylar (polyester film) reed — the only imported input; AI can supply reeds while local reed cutting capability develops</w:t>
      </w:r>
    </w:p>
    <w:p w14:paraId="4C00003A"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Paper mouthpiece cone</w:t>
      </w:r>
    </w:p>
    <w:p w14:paraId="4C00003B"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Single-use (outdoor, biosafe) format; no electronics, no adhesives required</w:t>
      </w:r>
    </w:p>
    <w:p w14:paraId="4C00003C"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Ships flat; local assembly; no special storage conditions</w:t>
      </w:r>
    </w:p>
    <w:p w14:paraId="4C00003D" w14:textId="77777777" w:rsidR="00000000" w:rsidRDefault="00000000" w:rsidP="009933FD">
      <w:pPr>
        <w:spacing w:before="100" w:after="40" w:line="240" w:lineRule="auto"/>
        <w:jc w:val="both"/>
        <w:rPr>
          <w:rFonts w:ascii="Calibri" w:hAnsi="Calibri" w:cs="Calibri"/>
          <w:b/>
          <w:bCs/>
          <w:sz w:val="24"/>
          <w:szCs w:val="24"/>
        </w:rPr>
      </w:pPr>
      <w:r>
        <w:rPr>
          <w:rFonts w:ascii="Calibri" w:hAnsi="Calibri" w:cs="Calibri"/>
          <w:b/>
          <w:bCs/>
          <w:sz w:val="24"/>
          <w:szCs w:val="24"/>
        </w:rPr>
        <w:lastRenderedPageBreak/>
        <w:t>Pricing targets (LMIC):</w:t>
      </w:r>
    </w:p>
    <w:p w14:paraId="4C00003E"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Target cost of goods: ≤USD 0.10 (optimal)</w:t>
      </w:r>
    </w:p>
    <w:p w14:paraId="4C00003F"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Retail cost: &lt;USD 0.50 in LMICs</w:t>
      </w:r>
    </w:p>
    <w:p w14:paraId="4C000040"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UMIC retail: &lt;USD 1.00</w:t>
      </w:r>
    </w:p>
    <w:p w14:paraId="4C000041" w14:textId="77777777" w:rsidR="00000000" w:rsidRDefault="00000000" w:rsidP="009933FD">
      <w:pPr>
        <w:spacing w:before="100" w:after="40" w:line="240" w:lineRule="auto"/>
        <w:jc w:val="both"/>
        <w:rPr>
          <w:rFonts w:ascii="Calibri" w:hAnsi="Calibri" w:cs="Calibri"/>
          <w:b/>
          <w:bCs/>
          <w:sz w:val="24"/>
          <w:szCs w:val="24"/>
        </w:rPr>
      </w:pPr>
      <w:r>
        <w:rPr>
          <w:rFonts w:ascii="Calibri" w:hAnsi="Calibri" w:cs="Calibri"/>
          <w:b/>
          <w:bCs/>
          <w:sz w:val="24"/>
          <w:szCs w:val="24"/>
        </w:rPr>
        <w:t>Regulatory classification:</w:t>
      </w:r>
    </w:p>
    <w:p w14:paraId="4C000042"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Class I equivalent in most jurisdictions (EU MDR Class I; SAHPRA anticipated Class A)</w:t>
      </w:r>
    </w:p>
    <w:p w14:paraId="4C000043"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No cleanroom required</w:t>
      </w:r>
    </w:p>
    <w:p w14:paraId="4C000044"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ISO 13485:2016 Quality Management System certification is required (or a credible implementation plan with a defined timeline)</w:t>
      </w:r>
    </w:p>
    <w:p w14:paraId="4C00008E" w14:textId="77777777" w:rsidR="00000000" w:rsidRDefault="00000000" w:rsidP="009933FD">
      <w:pPr>
        <w:spacing w:line="240" w:lineRule="auto"/>
        <w:rPr>
          <w:rFonts w:ascii="Calibri" w:hAnsi="Calibri" w:cs="Calibri"/>
          <w:sz w:val="24"/>
          <w:szCs w:val="24"/>
        </w:rPr>
      </w:pPr>
    </w:p>
    <w:p w14:paraId="4C00008F"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5. What types of manufacturers are eligible to apply?</w:t>
      </w:r>
    </w:p>
    <w:p w14:paraId="4C000045"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This EOI is open to legally registered companies based in Africa with the ability to produce medical-grade components from paper. Africa-based manufacturers and those with existing distribution networks in target markets are strongly encouraged to apply. Eligible applicants include those seeking to:</w:t>
      </w:r>
    </w:p>
    <w:p w14:paraId="4C000046"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Manufacture the LFE under technology transfer from Acoustic Innovations as a contract or licensed manufacturer</w:t>
      </w:r>
    </w:p>
    <w:p w14:paraId="4C000047"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Establish a new production line for the LFE within an existing paper, packaging, or medical consumables facility</w:t>
      </w:r>
    </w:p>
    <w:p w14:paraId="4C000048"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Transition or expand existing manufacturing capabilities to include the ECO platform</w:t>
      </w:r>
    </w:p>
    <w:p w14:paraId="4C000049"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Acquire rights to manufacture and distribute the LFE in a defined geography within Africa</w:t>
      </w:r>
    </w:p>
    <w:p w14:paraId="4C00004A"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Manufacturers do not need to currently own or manufacture the LFE. The LFE design is established and AI will transfer technology and specifications to selected partners.</w:t>
      </w:r>
    </w:p>
    <w:p w14:paraId="4C00004B"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Candidate manufacturing hubs with the strongest near-term feasibility include South Africa (most advanced medtech market in sub-Saharan Africa; SAHPRA registration pathway established), Kenya (EAC/COMESA membership, growing regional hub, government tax incentives), Nigeria (largest TB burden in Africa), Rwanda (strong governance and health manufacturing investment), and Egypt (largest medical device contract manufacturing share in Africa, ~28%).</w:t>
      </w:r>
    </w:p>
    <w:p w14:paraId="4C00004C" w14:textId="77777777" w:rsidR="00000000" w:rsidRDefault="00000000" w:rsidP="009933FD">
      <w:pPr>
        <w:spacing w:before="100" w:after="40" w:line="240" w:lineRule="auto"/>
        <w:jc w:val="both"/>
        <w:rPr>
          <w:rFonts w:ascii="Calibri" w:hAnsi="Calibri" w:cs="Calibri"/>
          <w:b/>
          <w:bCs/>
          <w:sz w:val="24"/>
          <w:szCs w:val="24"/>
        </w:rPr>
      </w:pPr>
      <w:r>
        <w:rPr>
          <w:rFonts w:ascii="Calibri" w:hAnsi="Calibri" w:cs="Calibri"/>
          <w:b/>
          <w:bCs/>
          <w:sz w:val="24"/>
          <w:szCs w:val="24"/>
        </w:rPr>
        <w:t>Minimum eligibility criteria:</w:t>
      </w:r>
    </w:p>
    <w:p w14:paraId="4C00004D"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Legally registered company authorized to operate as a device manufacturer</w:t>
      </w:r>
    </w:p>
    <w:p w14:paraId="4C00004E"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Ability to produce medical-grade components from paper and/or plastic to precise specifications</w:t>
      </w:r>
    </w:p>
    <w:p w14:paraId="4C00004F"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Production facility operating under current Good Manufacturing Practice (GMP)</w:t>
      </w:r>
    </w:p>
    <w:p w14:paraId="4C000050"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ISO 13485 certification obtained or a documented implementation plan with a defined timeline</w:t>
      </w:r>
    </w:p>
    <w:p w14:paraId="4C000051"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Ability to manufacture at commercial scale or a credible plan to reach it</w:t>
      </w:r>
    </w:p>
    <w:p w14:paraId="4C000052"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Demonstrated financial capacity to sustain production until commercialisation</w:t>
      </w:r>
    </w:p>
    <w:p w14:paraId="4C000053"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Willingness to commit to supply through at least 2031, at agreed ceiling pricing, with access and affordability conditions</w:t>
      </w:r>
    </w:p>
    <w:p w14:paraId="4C000090" w14:textId="77777777" w:rsidR="00000000" w:rsidRDefault="00000000" w:rsidP="009933FD">
      <w:pPr>
        <w:spacing w:line="240" w:lineRule="auto"/>
        <w:rPr>
          <w:rFonts w:ascii="Calibri" w:hAnsi="Calibri" w:cs="Calibri"/>
          <w:sz w:val="24"/>
          <w:szCs w:val="24"/>
        </w:rPr>
      </w:pPr>
    </w:p>
    <w:p w14:paraId="4C000091"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lastRenderedPageBreak/>
        <w:t>6. Why is local African manufacturing commercially attractive for the LFE?</w:t>
      </w:r>
    </w:p>
    <w:p w14:paraId="4C000054"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LFE’s bill of materials is dominated by commodity inputs (paper/cardboard and Mylar film), making it one of the simplest single-use medical devices to manufacture. The current Japan-manufactured unit has an implied cost of USD 0.50–1.00. Local African manufacture is estimated to reduce the cost of goods sold (COGS) to USD 0.20–0.40 per unit at scale — a reduction of up to 50% — through lower labour costs, elimination of international freight, and reduced import duties.</w:t>
      </w:r>
    </w:p>
    <w:p w14:paraId="4C000055"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Structural policy tailwinds further enhance the commercial case:</w:t>
      </w:r>
    </w:p>
    <w:p w14:paraId="4C000056"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African Continental Free Trade Area (AfCFTA): 47 AU member states ratified as of January 2024, creating a continental market of ~1.3 billion people and eliminating intra-African trade barriers</w:t>
      </w:r>
    </w:p>
    <w:p w14:paraId="4C000057"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African Pooled Procurement Mechanism (APPM): Established by Africa CDC with Afreximbank USD 2 billion pledge (2024), explicitly designed to preference locally manufactured health products</w:t>
      </w:r>
    </w:p>
    <w:p w14:paraId="4C000058"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AU procurement preferences: 2025 ministerial communiqué committed member states to legislate preferential procurement for African-made health products</w:t>
      </w:r>
    </w:p>
    <w:p w14:paraId="4C000059"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African Medicines Agency (AMA): Regulatory harmonisation will streamline multi-country registration, reducing the cost and time of market entry</w:t>
      </w:r>
    </w:p>
    <w:p w14:paraId="4C00005A"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Procurement preference premium: APPM procurement rules may provide a 10–15% margin advantage for African-made products over imports</w:t>
      </w:r>
    </w:p>
    <w:p w14:paraId="4C00005B"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A lower cost base from local manufacturing could allow pricing below the USD 0.30 lower-bound used in market sizing calculations, substantially expanding demand in price-sensitive public sector TB programmes.</w:t>
      </w:r>
    </w:p>
    <w:p w14:paraId="4C000092" w14:textId="77777777" w:rsidR="00000000" w:rsidRDefault="00000000" w:rsidP="009933FD">
      <w:pPr>
        <w:spacing w:line="240" w:lineRule="auto"/>
        <w:rPr>
          <w:rFonts w:ascii="Calibri" w:hAnsi="Calibri" w:cs="Calibri"/>
          <w:sz w:val="24"/>
          <w:szCs w:val="24"/>
        </w:rPr>
      </w:pPr>
    </w:p>
    <w:p w14:paraId="4C000093"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7. What support is available to selected manufacturers?</w:t>
      </w:r>
    </w:p>
    <w:p w14:paraId="4C00005C"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Selected manufacturers will receive the following support from Acoustic Innovations (AI), the Aurum Institute, and the Research Institute of Tuberculosis (RIT), funded through GHIT:</w:t>
      </w:r>
    </w:p>
    <w:p w14:paraId="4C00005D"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Technology transfer: Comprehensive technical documentation including engineering drawings, component tolerances, manufacturing blueprints, and Standard Operating Procedures (SOPs) provided by AI; hands-on training by AI engineers and technicians at manufacturer facilities</w:t>
      </w:r>
    </w:p>
    <w:p w14:paraId="4C00005E"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Equipment and facility setup: Support for equipment procurement or adaptation; validation and refinement of production processes for quality and scalability; provision of quality control protocols</w:t>
      </w:r>
    </w:p>
    <w:p w14:paraId="4C00005F"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Raw material supply chain: Assistance qualifying local paper and packaging suppliers; negotiation of bulk procurement agreements for Mylar reeds (which can initially be imported from Japan at minimal cost given their small size)</w:t>
      </w:r>
    </w:p>
    <w:p w14:paraId="4C000060"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Regulatory assistance: Support for ISO 13485 progress; guidance on EU MDR Class I compliance, SAHPRA, NAFDAC, and other African national regulatory authority (NRA) registrations; engagement with AMRH regional harmonisation pathways</w:t>
      </w:r>
    </w:p>
    <w:p w14:paraId="4C000061"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 xml:space="preserve">Market access and procurement: Introduction to global distribution networks including Human Diagnostics (distribution partners in 160 countries, WHO-endorsed IVDs), Global Drug Facility, i+solutions, and regional procurement bodies (KEMSA, </w:t>
      </w:r>
      <w:r>
        <w:rPr>
          <w:rFonts w:ascii="Calibri" w:hAnsi="Calibri" w:cs="Calibri"/>
          <w:sz w:val="24"/>
          <w:szCs w:val="24"/>
        </w:rPr>
        <w:lastRenderedPageBreak/>
        <w:t>SADC); tiered pricing mechanisms for replication studies and early-adopter programmes</w:t>
      </w:r>
    </w:p>
    <w:p w14:paraId="4C000062"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Demand stimulation: AI and Aurum will actively engage National TB Programmes, implementing partners (MSF, KNCV, The Union, Damien Foundation), and Global Fund and USAID TB Accelerator mechanisms to build demand ahead of WHO endorsement</w:t>
      </w:r>
    </w:p>
    <w:p w14:paraId="4C000094" w14:textId="77777777" w:rsidR="00000000" w:rsidRDefault="00000000" w:rsidP="009933FD">
      <w:pPr>
        <w:spacing w:line="240" w:lineRule="auto"/>
        <w:rPr>
          <w:rFonts w:ascii="Calibri" w:hAnsi="Calibri" w:cs="Calibri"/>
          <w:sz w:val="24"/>
          <w:szCs w:val="24"/>
        </w:rPr>
      </w:pPr>
    </w:p>
    <w:p w14:paraId="4C000095"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8. What is the regulatory pathway for the Lung Flute ECO?</w:t>
      </w:r>
    </w:p>
    <w:p w14:paraId="4C000063"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LFE is classified as a low-risk, non-invasive medical device in all major jurisdictions:</w:t>
      </w:r>
    </w:p>
    <w:p w14:paraId="4C000064"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United States: FDA 510(k) clearance already established (device equivalence for sputum clearance in COPD)</w:t>
      </w:r>
    </w:p>
    <w:p w14:paraId="4C000065"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European Union: EU MDR 2017/745 Class I (self-declaration pathway; no Notified Body required for non-sterile, non-measuring Class I devices)</w:t>
      </w:r>
    </w:p>
    <w:p w14:paraId="4C000066"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South Africa: Anticipated SAHPRA Class A (lowest risk tier); Modiga Med has already initiated SAHPRA Class I device registration discussions</w:t>
      </w:r>
    </w:p>
    <w:p w14:paraId="4C000067"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Japan: Included in national TB guidelines and national insurance reimbursement</w:t>
      </w:r>
    </w:p>
    <w:p w14:paraId="4C000068"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Other African NRAs: Class I equivalent expected; manufacturers should confirm classification with relevant authorities (NAFDAC in Nigeria, KEBS in Kenya, etc.)</w:t>
      </w:r>
    </w:p>
    <w:p w14:paraId="4C000069"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WHO endorsement is the primary strategic regulatory target, expected by 2027–2028. A WHO Form 002 for eligibility screening under the Coordinated Scientific Advice (CSA) process has been submitted. An intermediate Global Fund Expert Review Panel for Diagnostics (GF ERPD) assessment can provide a 6-week procurement pathway while awaiting full WHO Prequalification, provided the LFE is included in both the GF and WHO Expressions of Interest.</w:t>
      </w:r>
    </w:p>
    <w:p w14:paraId="4C00006A"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Manufacturers should demonstrate regulatory capability or a credible implementation plan to achieve relevant national and regional clearances. AI and Aurum will provide regulatory support and facilitate engagement with regional and national regulatory authorities.</w:t>
      </w:r>
    </w:p>
    <w:p w14:paraId="4C000096" w14:textId="77777777" w:rsidR="00000000" w:rsidRDefault="00000000" w:rsidP="009933FD">
      <w:pPr>
        <w:spacing w:line="240" w:lineRule="auto"/>
        <w:rPr>
          <w:rFonts w:ascii="Calibri" w:hAnsi="Calibri" w:cs="Calibri"/>
          <w:sz w:val="24"/>
          <w:szCs w:val="24"/>
        </w:rPr>
      </w:pPr>
    </w:p>
    <w:p w14:paraId="4C000097"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9. What are the manufacturing specifications and technical requirements?</w:t>
      </w:r>
    </w:p>
    <w:p w14:paraId="4C00006B"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LFE consists of four primary components, all of which can be manufactured or sourced locally in Africa:</w:t>
      </w:r>
    </w:p>
    <w:p w14:paraId="4C00006C"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Paper tube body: Paper/cardboard tube approximately 30 cm long; manufactured by paper tube rolling or die-cutting; high local sourcing potential — paper/cardboard is widely available across Africa</w:t>
      </w:r>
    </w:p>
    <w:p w14:paraId="4C00006D"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Internal Mylar reed: Thin polyester film (Mylar), cut/stamped to specification; medium local sourcing potential — Mylar film can be imported in bulk rolls with cutting done locally. AI can supply pre-cut reeds in the short term.</w:t>
      </w:r>
    </w:p>
    <w:p w14:paraId="4C00006E"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Assembly: Simple reed insertion — no adhesives or fasteners required; fully local, labour-intensive but low-skill</w:t>
      </w:r>
    </w:p>
    <w:p w14:paraId="4C00006F"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Packaging: Paper or low-density polyethylene wrapping/heat sealing; high local sourcing potential</w:t>
      </w:r>
    </w:p>
    <w:p w14:paraId="4C000070" w14:textId="77777777" w:rsidR="00000000" w:rsidRDefault="00000000" w:rsidP="009933FD">
      <w:pPr>
        <w:spacing w:before="100" w:after="40" w:line="240" w:lineRule="auto"/>
        <w:jc w:val="both"/>
        <w:rPr>
          <w:rFonts w:ascii="Calibri" w:hAnsi="Calibri" w:cs="Calibri"/>
          <w:b/>
          <w:bCs/>
          <w:sz w:val="24"/>
          <w:szCs w:val="24"/>
        </w:rPr>
      </w:pPr>
      <w:r>
        <w:rPr>
          <w:rFonts w:ascii="Calibri" w:hAnsi="Calibri" w:cs="Calibri"/>
          <w:b/>
          <w:bCs/>
          <w:sz w:val="24"/>
          <w:szCs w:val="24"/>
        </w:rPr>
        <w:t>Key manufacturing selection criteria used by AI and Aurum during the EOI evaluation:</w:t>
      </w:r>
    </w:p>
    <w:p w14:paraId="4C000071"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Ability to cut cardboard to designated size and form a rectangular shape (glued ends)</w:t>
      </w:r>
    </w:p>
    <w:p w14:paraId="4C000072"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lastRenderedPageBreak/>
        <w:t>Capability to manufacture 1mm thick tube-shaped material with paper drink cup covering for cleanliness</w:t>
      </w:r>
    </w:p>
    <w:p w14:paraId="4C000073"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Location in an emerging health technology hub (e.g. Cape Town, Nairobi, Kigali, Addis Ababa, Lagos) for optimised distribution infrastructure and cost reduction</w:t>
      </w:r>
    </w:p>
    <w:p w14:paraId="4C000074"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Capacity for consistent material supply and delivery using commonly available carton paper in LMIC settings</w:t>
      </w:r>
    </w:p>
    <w:p w14:paraId="4C000075"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Capital expenditure required is low. No cleanroom is required. The production line design and prototype tooling will be provided by AI; the local manufacturer builds the line with AI support and training. This approach ensures capital costs remain with the manufacturer (per GHIT Fund policy) while AI contributes technical expertise.</w:t>
      </w:r>
    </w:p>
    <w:p w14:paraId="4C000098" w14:textId="77777777" w:rsidR="00000000" w:rsidRDefault="00000000" w:rsidP="009933FD">
      <w:pPr>
        <w:spacing w:line="240" w:lineRule="auto"/>
        <w:rPr>
          <w:rFonts w:ascii="Calibri" w:hAnsi="Calibri" w:cs="Calibri"/>
          <w:sz w:val="24"/>
          <w:szCs w:val="24"/>
        </w:rPr>
      </w:pPr>
    </w:p>
    <w:p w14:paraId="4C000099"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10. What pricing and commercialisation model applies?</w:t>
      </w:r>
    </w:p>
    <w:p w14:paraId="4C000076"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Acoustic Innovations operates a tiered pricing model calibrated to country income status and intended use:</w:t>
      </w:r>
    </w:p>
    <w:p w14:paraId="4C000077"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LMICs (60% of global TB burden): Licensing model targeting COGS of ¥20–¥30 (USD 0.14–0.21) per unit at local production scale; retail cost target &lt;USD 0.50 (optimal) or &lt;USD 0.80 (minimal). Manufacturers in LICs/LMICs will produce under licence at these price points.</w:t>
      </w:r>
    </w:p>
    <w:p w14:paraId="4C000078"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Upper middle-income countries (UMICs, e.g. Brazil, Indonesia, China, South Africa): Discounted export pricing or a licensing fee aligned with AI’s no-loss policy (approximately 5–10% of the end-user price); retail target &lt;USD 1.50 (optimal)</w:t>
      </w:r>
    </w:p>
    <w:p w14:paraId="4C000079"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High-income countries (HICs): Commercial pricing aligned with Japan’s domestic market rate of ¥400 (approximately USD 2.70) per unit</w:t>
      </w:r>
    </w:p>
    <w:p w14:paraId="4C00007A"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Research/replication studies: Subsidised pricing of USD 1.55 per unit currently offered to high-impact trialists; this will reduce as local manufacturing is established</w:t>
      </w:r>
    </w:p>
    <w:p w14:paraId="4C00007B"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All pricing and licensing agreements will align with the GHIT Fund’s Data Access Policy and Product Access Policy. Manufacturers will be required to agree to a ceiling price for public sector procurement and to supply through at least 2031. Advance market commitments and strategic procurement planning support are available to anchor demand projections for manufacturer business case development.</w:t>
      </w:r>
    </w:p>
    <w:p w14:paraId="4C00009A" w14:textId="77777777" w:rsidR="00000000" w:rsidRDefault="00000000" w:rsidP="009933FD">
      <w:pPr>
        <w:spacing w:line="240" w:lineRule="auto"/>
        <w:rPr>
          <w:rFonts w:ascii="Calibri" w:hAnsi="Calibri" w:cs="Calibri"/>
          <w:sz w:val="24"/>
          <w:szCs w:val="24"/>
        </w:rPr>
      </w:pPr>
    </w:p>
    <w:p w14:paraId="4C00009B"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11. What is the timeline and process for the Expression of Interest?</w:t>
      </w:r>
    </w:p>
    <w:p w14:paraId="4C00007C"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This EOI is issued by the Research Institute of Tuberculosis (RIT) in collaboration with the Aurum Institute and Acoustic Innovations, Co., Ltd., funded through GHIT.</w:t>
      </w:r>
    </w:p>
    <w:p w14:paraId="4C00007D"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EOI Issue Date: 26 March 2026</w:t>
      </w:r>
    </w:p>
    <w:p w14:paraId="57ECDB06" w14:textId="1E754F36" w:rsidR="00CC1815" w:rsidRDefault="00CC1815"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Questions Submission deadline: 10 April 2026</w:t>
      </w:r>
    </w:p>
    <w:p w14:paraId="4C00007F"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Closing Date: 30 April 2026</w:t>
      </w:r>
    </w:p>
    <w:p w14:paraId="7A1D3B86" w14:textId="77777777" w:rsidR="00CC1815" w:rsidRDefault="00CC1815" w:rsidP="00CC1815">
      <w:pPr>
        <w:pStyle w:val="ListParagraph"/>
        <w:spacing w:after="0" w:line="240" w:lineRule="auto"/>
        <w:jc w:val="both"/>
        <w:rPr>
          <w:rFonts w:ascii="Calibri" w:hAnsi="Calibri" w:cs="Calibri"/>
          <w:sz w:val="24"/>
          <w:szCs w:val="24"/>
        </w:rPr>
      </w:pPr>
    </w:p>
    <w:p w14:paraId="4C000080"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EOI submissions must be in English, signed by an authorised company representative, and sent to: aurumaccessprocurement@auruminstitute.org with subject line ‘Expression of Interest – LFE’. Questions may also be directed to this address during the formal Q&amp;A period.</w:t>
      </w:r>
    </w:p>
    <w:p w14:paraId="4C000081" w14:textId="77777777" w:rsidR="00000000" w:rsidRDefault="00000000" w:rsidP="009933FD">
      <w:pPr>
        <w:spacing w:before="100" w:after="40" w:line="240" w:lineRule="auto"/>
        <w:jc w:val="both"/>
        <w:rPr>
          <w:rFonts w:ascii="Calibri" w:hAnsi="Calibri" w:cs="Calibri"/>
          <w:b/>
          <w:bCs/>
          <w:sz w:val="24"/>
          <w:szCs w:val="24"/>
        </w:rPr>
      </w:pPr>
      <w:r>
        <w:rPr>
          <w:rFonts w:ascii="Calibri" w:hAnsi="Calibri" w:cs="Calibri"/>
          <w:b/>
          <w:bCs/>
          <w:sz w:val="24"/>
          <w:szCs w:val="24"/>
        </w:rPr>
        <w:t>Required submission documents:</w:t>
      </w:r>
    </w:p>
    <w:p w14:paraId="4C000082"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lastRenderedPageBreak/>
        <w:t>Cover letter: Summary of proposed approach to local production, overview of support required, and statement of commitment to engage further</w:t>
      </w:r>
    </w:p>
    <w:p w14:paraId="4C000083"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Excel form: Company information, prior experience, and proposed product details</w:t>
      </w:r>
    </w:p>
    <w:p w14:paraId="4C000084" w14:textId="77777777" w:rsidR="00000000" w:rsidRDefault="00000000"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QMS Evidence Form: Documentation of ISO 13485 certification or implementation plan</w:t>
      </w:r>
    </w:p>
    <w:p w14:paraId="4C000085"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Only applicants who complete the EOI in full will be invited to respond to any subsequent Request for Proposal (RFP). The EOI process will inform manufacturer shortlisting, with selected partners proceeding to on-site evaluation, technology transfer, training, and initial pilot batch production targeted by late 2026. Full production line establishment and distribution network set-up are targeted by 2027, aligned with the WHO evidence submission timeline.</w:t>
      </w:r>
    </w:p>
    <w:p w14:paraId="4C00009C" w14:textId="77777777" w:rsidR="00000000" w:rsidRDefault="00000000" w:rsidP="009933FD">
      <w:pPr>
        <w:spacing w:line="240" w:lineRule="auto"/>
        <w:rPr>
          <w:rFonts w:ascii="Calibri" w:hAnsi="Calibri" w:cs="Calibri"/>
          <w:sz w:val="24"/>
          <w:szCs w:val="24"/>
        </w:rPr>
      </w:pPr>
    </w:p>
    <w:p w14:paraId="4C00009D" w14:textId="77777777" w:rsidR="00000000" w:rsidRDefault="00000000" w:rsidP="009933FD">
      <w:pPr>
        <w:spacing w:before="200" w:after="80" w:line="240" w:lineRule="auto"/>
        <w:jc w:val="both"/>
        <w:rPr>
          <w:rFonts w:ascii="Calibri" w:hAnsi="Calibri" w:cs="Calibri"/>
          <w:b/>
          <w:bCs/>
          <w:sz w:val="24"/>
          <w:szCs w:val="24"/>
        </w:rPr>
      </w:pPr>
      <w:r>
        <w:rPr>
          <w:rFonts w:ascii="Calibri" w:hAnsi="Calibri" w:cs="Calibri"/>
          <w:b/>
          <w:bCs/>
          <w:sz w:val="24"/>
          <w:szCs w:val="24"/>
        </w:rPr>
        <w:t>12. I missed the EOI deadline. Can I still be considered?</w:t>
      </w:r>
    </w:p>
    <w:p w14:paraId="4C000086"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Unfortunately, only applications received before the closing date of 30 April 2026 will be considered. We encourage all interested manufacturers to submit a complete EOI form and cover letter ahead of the deadline. Only applicants who have completed an EOI in full will be eligible to respond to any subsequent Request for Proposal (RFP) or technology transfer agreement.</w:t>
      </w:r>
    </w:p>
    <w:p w14:paraId="4C00009E" w14:textId="77777777" w:rsidR="00000000" w:rsidRDefault="00000000" w:rsidP="009933FD">
      <w:pPr>
        <w:spacing w:line="240" w:lineRule="auto"/>
        <w:rPr>
          <w:rFonts w:ascii="Calibri" w:hAnsi="Calibri" w:cs="Calibri"/>
          <w:sz w:val="24"/>
          <w:szCs w:val="24"/>
        </w:rPr>
      </w:pPr>
    </w:p>
    <w:p w14:paraId="4C00009F" w14:textId="77777777" w:rsidR="00000000" w:rsidRDefault="00000000" w:rsidP="009933FD">
      <w:pPr>
        <w:spacing w:before="120" w:after="0" w:line="240" w:lineRule="auto"/>
        <w:jc w:val="both"/>
        <w:rPr>
          <w:rFonts w:ascii="Calibri" w:hAnsi="Calibri" w:cs="Calibri"/>
          <w:i/>
          <w:iCs/>
        </w:rPr>
      </w:pPr>
      <w:r>
        <w:rPr>
          <w:rFonts w:ascii="Calibri" w:hAnsi="Calibri" w:cs="Calibri"/>
          <w:i/>
          <w:iCs/>
        </w:rPr>
        <w:t>This EOI is issued by the Research Institute of Tuberculosis (RIT), Japan Anti-Tuberculosis Association, in collaboration with the Aurum Institute and Acoustic Innovations, Co., Ltd., with funding from the Global Health Innovative Technology (GHIT) Fund. Submissions: aurumaccessprocurement@auruminstitute.org</w:t>
      </w:r>
    </w:p>
    <w:p w14:paraId="4C0000A0" w14:textId="77777777" w:rsidR="00000000" w:rsidRDefault="00000000" w:rsidP="009933FD">
      <w:pPr>
        <w:spacing w:line="240" w:lineRule="auto"/>
        <w:jc w:val="both"/>
        <w:rPr>
          <w:rFonts w:ascii="Calibri" w:hAnsi="Calibri" w:cs="Calibri"/>
          <w:i/>
          <w:iCs/>
        </w:rPr>
      </w:pPr>
      <w:r>
        <w:rPr>
          <w:rFonts w:ascii="Calibri" w:hAnsi="Calibri" w:cs="Calibri"/>
          <w:i/>
          <w:iCs/>
        </w:rPr>
        <w:t>All pricing, licensing, and access commitments will align with the GHIT Fund Data Access Policy and Product Access Policy (https://www.ghitfund.org/applyforfunding/accesspolicy/en).</w:t>
      </w:r>
    </w:p>
    <w:sectPr w:rsidR="00CC0101" w:rsidSect="009933FD">
      <w:headerReference w:type="default" r:id="rId16"/>
      <w:footerReference w:type="default" r:id="rId17"/>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B501" w14:textId="77777777" w:rsidR="00B70110" w:rsidRDefault="00B70110" w:rsidP="004D1E6D">
      <w:pPr>
        <w:spacing w:after="0" w:line="240" w:lineRule="auto"/>
      </w:pPr>
      <w:r>
        <w:separator/>
      </w:r>
    </w:p>
  </w:endnote>
  <w:endnote w:type="continuationSeparator" w:id="0">
    <w:p w14:paraId="3A719D92" w14:textId="77777777" w:rsidR="00B70110" w:rsidRDefault="00B70110" w:rsidP="004D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52493"/>
      <w:docPartObj>
        <w:docPartGallery w:val="Page Numbers (Bottom of Page)"/>
        <w:docPartUnique/>
      </w:docPartObj>
    </w:sdtPr>
    <w:sdtContent>
      <w:sdt>
        <w:sdtPr>
          <w:id w:val="-1769616900"/>
          <w:docPartObj>
            <w:docPartGallery w:val="Page Numbers (Top of Page)"/>
            <w:docPartUnique/>
          </w:docPartObj>
        </w:sdtPr>
        <w:sdtContent>
          <w:p w14:paraId="578D9B2E" w14:textId="0B7DE33E" w:rsidR="009933FD" w:rsidRDefault="009933FD">
            <w:pPr>
              <w:pStyle w:val="Footer"/>
              <w:jc w:val="right"/>
            </w:pPr>
            <w:r w:rsidRPr="009933FD">
              <w:rPr>
                <w:sz w:val="20"/>
                <w:szCs w:val="20"/>
              </w:rPr>
              <w:fldChar w:fldCharType="begin"/>
            </w:r>
            <w:r w:rsidRPr="009933FD">
              <w:rPr>
                <w:sz w:val="18"/>
                <w:szCs w:val="18"/>
              </w:rPr>
              <w:instrText xml:space="preserve"> PAGE </w:instrText>
            </w:r>
            <w:r w:rsidRPr="009933FD">
              <w:rPr>
                <w:sz w:val="20"/>
                <w:szCs w:val="20"/>
              </w:rPr>
              <w:fldChar w:fldCharType="separate"/>
            </w:r>
            <w:r w:rsidRPr="009933FD">
              <w:rPr>
                <w:noProof/>
                <w:sz w:val="18"/>
                <w:szCs w:val="18"/>
              </w:rPr>
              <w:t>2</w:t>
            </w:r>
            <w:r w:rsidRPr="009933FD">
              <w:rPr>
                <w:sz w:val="20"/>
                <w:szCs w:val="20"/>
              </w:rPr>
              <w:fldChar w:fldCharType="end"/>
            </w:r>
            <w:r w:rsidRPr="009933FD">
              <w:rPr>
                <w:sz w:val="18"/>
                <w:szCs w:val="18"/>
              </w:rPr>
              <w:t xml:space="preserve"> of </w:t>
            </w:r>
            <w:r w:rsidRPr="009933FD">
              <w:rPr>
                <w:sz w:val="20"/>
                <w:szCs w:val="20"/>
              </w:rPr>
              <w:fldChar w:fldCharType="begin"/>
            </w:r>
            <w:r w:rsidRPr="009933FD">
              <w:rPr>
                <w:sz w:val="18"/>
                <w:szCs w:val="18"/>
              </w:rPr>
              <w:instrText xml:space="preserve"> NUMPAGES  </w:instrText>
            </w:r>
            <w:r w:rsidRPr="009933FD">
              <w:rPr>
                <w:sz w:val="20"/>
                <w:szCs w:val="20"/>
              </w:rPr>
              <w:fldChar w:fldCharType="separate"/>
            </w:r>
            <w:r w:rsidRPr="009933FD">
              <w:rPr>
                <w:noProof/>
                <w:sz w:val="18"/>
                <w:szCs w:val="18"/>
              </w:rPr>
              <w:t>2</w:t>
            </w:r>
            <w:r w:rsidRPr="009933FD">
              <w:rPr>
                <w:sz w:val="20"/>
                <w:szCs w:val="20"/>
              </w:rPr>
              <w:fldChar w:fldCharType="end"/>
            </w:r>
          </w:p>
        </w:sdtContent>
      </w:sdt>
    </w:sdtContent>
  </w:sdt>
  <w:p w14:paraId="25DD44D1" w14:textId="402769B2" w:rsidR="004D1E6D" w:rsidRDefault="009933FD">
    <w:pPr>
      <w:pStyle w:val="Footer"/>
    </w:pPr>
    <w:r>
      <w:rPr>
        <w:noProof/>
      </w:rPr>
      <w:drawing>
        <wp:anchor distT="0" distB="0" distL="114300" distR="114300" simplePos="0" relativeHeight="251666432" behindDoc="0" locked="0" layoutInCell="1" allowOverlap="1" wp14:anchorId="430EA6B5" wp14:editId="241E4DD0">
          <wp:simplePos x="0" y="0"/>
          <wp:positionH relativeFrom="margin">
            <wp:posOffset>0</wp:posOffset>
          </wp:positionH>
          <wp:positionV relativeFrom="paragraph">
            <wp:posOffset>1270</wp:posOffset>
          </wp:positionV>
          <wp:extent cx="1080071" cy="403860"/>
          <wp:effectExtent l="0" t="0" r="6350" b="0"/>
          <wp:wrapNone/>
          <wp:docPr id="35080725" name="Picture 2" descr="ITM Webshop for in vitro diagno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M Webshop for in vitro diagnosti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71"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685">
      <w:rPr>
        <w:rFonts w:ascii="Calibri" w:hAnsi="Calibri" w:cs="Calibri"/>
        <w:b/>
        <w:bCs/>
        <w:noProof/>
        <w:sz w:val="24"/>
        <w:szCs w:val="24"/>
      </w:rPr>
      <w:drawing>
        <wp:anchor distT="0" distB="0" distL="114300" distR="114300" simplePos="0" relativeHeight="251667456" behindDoc="0" locked="0" layoutInCell="1" allowOverlap="1" wp14:anchorId="399BF928" wp14:editId="2FB25025">
          <wp:simplePos x="0" y="0"/>
          <wp:positionH relativeFrom="margin">
            <wp:posOffset>2057400</wp:posOffset>
          </wp:positionH>
          <wp:positionV relativeFrom="paragraph">
            <wp:posOffset>0</wp:posOffset>
          </wp:positionV>
          <wp:extent cx="1492250" cy="417229"/>
          <wp:effectExtent l="0" t="0" r="0" b="1905"/>
          <wp:wrapNone/>
          <wp:docPr id="1342784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84962" name=""/>
                  <pic:cNvPicPr/>
                </pic:nvPicPr>
                <pic:blipFill>
                  <a:blip r:embed="rId2">
                    <a:extLst>
                      <a:ext uri="{28A0092B-C50C-407E-A947-70E740481C1C}">
                        <a14:useLocalDpi xmlns:a14="http://schemas.microsoft.com/office/drawing/2010/main" val="0"/>
                      </a:ext>
                    </a:extLst>
                  </a:blip>
                  <a:stretch>
                    <a:fillRect/>
                  </a:stretch>
                </pic:blipFill>
                <pic:spPr>
                  <a:xfrm>
                    <a:off x="0" y="0"/>
                    <a:ext cx="1492250" cy="4172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6B96265" wp14:editId="7100BD6A">
          <wp:simplePos x="0" y="0"/>
          <wp:positionH relativeFrom="margin">
            <wp:posOffset>4404360</wp:posOffset>
          </wp:positionH>
          <wp:positionV relativeFrom="paragraph">
            <wp:posOffset>59055</wp:posOffset>
          </wp:positionV>
          <wp:extent cx="1200150" cy="306620"/>
          <wp:effectExtent l="0" t="0" r="0" b="0"/>
          <wp:wrapNone/>
          <wp:docPr id="642727764" name="Picture 7" descr="Contact Us | Acoustics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tact Us | Acoustics Innov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0150" cy="306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952C" w14:textId="77777777" w:rsidR="00B70110" w:rsidRDefault="00B70110" w:rsidP="004D1E6D">
      <w:pPr>
        <w:spacing w:after="0" w:line="240" w:lineRule="auto"/>
      </w:pPr>
      <w:r>
        <w:separator/>
      </w:r>
    </w:p>
  </w:footnote>
  <w:footnote w:type="continuationSeparator" w:id="0">
    <w:p w14:paraId="6CB3F7EF" w14:textId="77777777" w:rsidR="00B70110" w:rsidRDefault="00B70110" w:rsidP="004D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F866" w14:textId="4A6BF2E9" w:rsidR="003F4EFC" w:rsidRDefault="00D1487F">
    <w:pPr>
      <w:pStyle w:val="Header"/>
    </w:pPr>
    <w:r>
      <w:rPr>
        <w:noProof/>
      </w:rPr>
      <w:drawing>
        <wp:anchor distT="0" distB="0" distL="114300" distR="114300" simplePos="0" relativeHeight="251664384" behindDoc="0" locked="0" layoutInCell="1" allowOverlap="1" wp14:anchorId="6E9CA0D4" wp14:editId="514C3C9E">
          <wp:simplePos x="0" y="0"/>
          <wp:positionH relativeFrom="margin">
            <wp:posOffset>-91186</wp:posOffset>
          </wp:positionH>
          <wp:positionV relativeFrom="paragraph">
            <wp:posOffset>214249</wp:posOffset>
          </wp:positionV>
          <wp:extent cx="1664208" cy="432738"/>
          <wp:effectExtent l="0" t="0" r="0" b="5715"/>
          <wp:wrapNone/>
          <wp:docPr id="1837089474" name="Picture 8" descr="Global Health Innovative Technolog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lobal Health Innovative Technology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208" cy="4327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C6177D8" wp14:editId="463FD756">
          <wp:simplePos x="0" y="0"/>
          <wp:positionH relativeFrom="margin">
            <wp:posOffset>4370832</wp:posOffset>
          </wp:positionH>
          <wp:positionV relativeFrom="paragraph">
            <wp:posOffset>198755</wp:posOffset>
          </wp:positionV>
          <wp:extent cx="1371600" cy="400189"/>
          <wp:effectExtent l="0" t="0" r="0" b="0"/>
          <wp:wrapNone/>
          <wp:docPr id="2035506761" name="Picture 6" descr="Who We Are - The Aurum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o We Are - The Aurum Institu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4001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1F5"/>
    <w:multiLevelType w:val="multilevel"/>
    <w:tmpl w:val="275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23A5"/>
    <w:multiLevelType w:val="multilevel"/>
    <w:tmpl w:val="495CC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57D14"/>
    <w:multiLevelType w:val="hybridMultilevel"/>
    <w:tmpl w:val="E0361C5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5308F"/>
    <w:multiLevelType w:val="hybridMultilevel"/>
    <w:tmpl w:val="C95C51D8"/>
    <w:lvl w:ilvl="0" w:tplc="1C09001B">
      <w:start w:val="1"/>
      <w:numFmt w:val="lowerRoman"/>
      <w:lvlText w:val="%1."/>
      <w:lvlJc w:val="right"/>
      <w:pPr>
        <w:ind w:left="720" w:hanging="360"/>
      </w:pPr>
      <w:rPr>
        <w:rFonts w:hint="default"/>
      </w:rPr>
    </w:lvl>
    <w:lvl w:ilvl="1" w:tplc="1C09001B">
      <w:start w:val="1"/>
      <w:numFmt w:val="lowerRoman"/>
      <w:lvlText w:val="%2."/>
      <w:lvlJc w:val="right"/>
      <w:pPr>
        <w:ind w:left="1440" w:hanging="360"/>
      </w:p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F36559"/>
    <w:multiLevelType w:val="multilevel"/>
    <w:tmpl w:val="9E2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57938"/>
    <w:multiLevelType w:val="multilevel"/>
    <w:tmpl w:val="51E6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8196B"/>
    <w:multiLevelType w:val="multilevel"/>
    <w:tmpl w:val="AE90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21EA3"/>
    <w:multiLevelType w:val="hybridMultilevel"/>
    <w:tmpl w:val="1F1E49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C3600"/>
    <w:multiLevelType w:val="hybridMultilevel"/>
    <w:tmpl w:val="AAC02F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8D3268"/>
    <w:multiLevelType w:val="hybridMultilevel"/>
    <w:tmpl w:val="1DF2334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7D56FBB"/>
    <w:multiLevelType w:val="multilevel"/>
    <w:tmpl w:val="4BC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44200"/>
    <w:multiLevelType w:val="multilevel"/>
    <w:tmpl w:val="82F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95BE2"/>
    <w:multiLevelType w:val="multilevel"/>
    <w:tmpl w:val="8F34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4614A"/>
    <w:multiLevelType w:val="multilevel"/>
    <w:tmpl w:val="2B80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A6135"/>
    <w:multiLevelType w:val="hybridMultilevel"/>
    <w:tmpl w:val="03ECBC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1D51627B"/>
    <w:multiLevelType w:val="multilevel"/>
    <w:tmpl w:val="83D6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B0689"/>
    <w:multiLevelType w:val="hybridMultilevel"/>
    <w:tmpl w:val="B5528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E40EF2"/>
    <w:multiLevelType w:val="multilevel"/>
    <w:tmpl w:val="F4D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225DA1"/>
    <w:multiLevelType w:val="hybridMultilevel"/>
    <w:tmpl w:val="79FC1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15A2447"/>
    <w:multiLevelType w:val="hybridMultilevel"/>
    <w:tmpl w:val="C7DA7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482045"/>
    <w:multiLevelType w:val="hybridMultilevel"/>
    <w:tmpl w:val="DBF4E414"/>
    <w:lvl w:ilvl="0" w:tplc="1C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1" w15:restartNumberingAfterBreak="0">
    <w:nsid w:val="29166DAE"/>
    <w:multiLevelType w:val="hybridMultilevel"/>
    <w:tmpl w:val="6D84F85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D205BB5"/>
    <w:multiLevelType w:val="multilevel"/>
    <w:tmpl w:val="D75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61405"/>
    <w:multiLevelType w:val="hybridMultilevel"/>
    <w:tmpl w:val="6E508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FAE4F9D"/>
    <w:multiLevelType w:val="multilevel"/>
    <w:tmpl w:val="1AC09F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487A48"/>
    <w:multiLevelType w:val="multilevel"/>
    <w:tmpl w:val="DC54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2E6292"/>
    <w:multiLevelType w:val="multilevel"/>
    <w:tmpl w:val="8BF8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F1489"/>
    <w:multiLevelType w:val="multilevel"/>
    <w:tmpl w:val="E4CE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6E6A1C"/>
    <w:multiLevelType w:val="multilevel"/>
    <w:tmpl w:val="0E8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BD0243"/>
    <w:multiLevelType w:val="hybridMultilevel"/>
    <w:tmpl w:val="01B85C8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3917701F"/>
    <w:multiLevelType w:val="multilevel"/>
    <w:tmpl w:val="48A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224DE8"/>
    <w:multiLevelType w:val="hybridMultilevel"/>
    <w:tmpl w:val="17E88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D8725FC"/>
    <w:multiLevelType w:val="multilevel"/>
    <w:tmpl w:val="E56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7530FB"/>
    <w:multiLevelType w:val="multilevel"/>
    <w:tmpl w:val="810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1D15AE"/>
    <w:multiLevelType w:val="multilevel"/>
    <w:tmpl w:val="F786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7B087F"/>
    <w:multiLevelType w:val="multilevel"/>
    <w:tmpl w:val="4E7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61DAB"/>
    <w:multiLevelType w:val="hybridMultilevel"/>
    <w:tmpl w:val="E6A29A9A"/>
    <w:lvl w:ilvl="0" w:tplc="AE8CCD6A">
      <w:numFmt w:val="bullet"/>
      <w:lvlText w:val="-"/>
      <w:lvlJc w:val="left"/>
      <w:pPr>
        <w:ind w:left="410" w:hanging="360"/>
      </w:pPr>
      <w:rPr>
        <w:rFonts w:ascii="Calibri" w:eastAsiaTheme="minorHAns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37" w15:restartNumberingAfterBreak="0">
    <w:nsid w:val="46BF537F"/>
    <w:multiLevelType w:val="multilevel"/>
    <w:tmpl w:val="C74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821972"/>
    <w:multiLevelType w:val="multilevel"/>
    <w:tmpl w:val="CF5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EB4CFB"/>
    <w:multiLevelType w:val="multilevel"/>
    <w:tmpl w:val="E93A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E24355"/>
    <w:multiLevelType w:val="multilevel"/>
    <w:tmpl w:val="AC34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F53505"/>
    <w:multiLevelType w:val="multilevel"/>
    <w:tmpl w:val="87F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2C0973"/>
    <w:multiLevelType w:val="hybridMultilevel"/>
    <w:tmpl w:val="215E6AEC"/>
    <w:lvl w:ilvl="0" w:tplc="1C09000F">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57998CF7"/>
    <w:multiLevelType w:val="multilevel"/>
    <w:tmpl w:val="C7E4F41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7AE7668"/>
    <w:multiLevelType w:val="multilevel"/>
    <w:tmpl w:val="AE22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0325C8"/>
    <w:multiLevelType w:val="multilevel"/>
    <w:tmpl w:val="6540D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AA27D4"/>
    <w:multiLevelType w:val="multilevel"/>
    <w:tmpl w:val="9ADC7A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rPr>
        <w:color w:val="auto"/>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0486FC7"/>
    <w:multiLevelType w:val="hybridMultilevel"/>
    <w:tmpl w:val="EA28BA7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1640DFF"/>
    <w:multiLevelType w:val="multilevel"/>
    <w:tmpl w:val="46E6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6F29A4"/>
    <w:multiLevelType w:val="hybridMultilevel"/>
    <w:tmpl w:val="5DDA07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0" w15:restartNumberingAfterBreak="0">
    <w:nsid w:val="62B16FC5"/>
    <w:multiLevelType w:val="multilevel"/>
    <w:tmpl w:val="4BF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1477EE"/>
    <w:multiLevelType w:val="multilevel"/>
    <w:tmpl w:val="517A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385D14"/>
    <w:multiLevelType w:val="multilevel"/>
    <w:tmpl w:val="0806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702A88"/>
    <w:multiLevelType w:val="multilevel"/>
    <w:tmpl w:val="A5D21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A16ABC"/>
    <w:multiLevelType w:val="hybridMultilevel"/>
    <w:tmpl w:val="DB62C722"/>
    <w:lvl w:ilvl="0" w:tplc="1C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55" w15:restartNumberingAfterBreak="0">
    <w:nsid w:val="6AA93244"/>
    <w:multiLevelType w:val="multilevel"/>
    <w:tmpl w:val="2582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53283D"/>
    <w:multiLevelType w:val="multilevel"/>
    <w:tmpl w:val="E2E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454CC6"/>
    <w:multiLevelType w:val="hybridMultilevel"/>
    <w:tmpl w:val="3AF434F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6E631CB0"/>
    <w:multiLevelType w:val="hybridMultilevel"/>
    <w:tmpl w:val="82402E9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705C561E"/>
    <w:multiLevelType w:val="multilevel"/>
    <w:tmpl w:val="8AAEA3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rPr>
        <w:color w:val="auto"/>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1232EAE"/>
    <w:multiLevelType w:val="hybridMultilevel"/>
    <w:tmpl w:val="496AB4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14F2287"/>
    <w:multiLevelType w:val="multilevel"/>
    <w:tmpl w:val="907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E63AA0"/>
    <w:multiLevelType w:val="hybridMultilevel"/>
    <w:tmpl w:val="8CE832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3" w15:restartNumberingAfterBreak="0">
    <w:nsid w:val="75E80A4C"/>
    <w:multiLevelType w:val="hybridMultilevel"/>
    <w:tmpl w:val="6F6CEEA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4" w15:restartNumberingAfterBreak="0">
    <w:nsid w:val="79591CD0"/>
    <w:multiLevelType w:val="multilevel"/>
    <w:tmpl w:val="1CD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0C385E"/>
    <w:multiLevelType w:val="hybridMultilevel"/>
    <w:tmpl w:val="41E8C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16556032">
    <w:abstractNumId w:val="43"/>
  </w:num>
  <w:num w:numId="2" w16cid:durableId="627472856">
    <w:abstractNumId w:val="33"/>
  </w:num>
  <w:num w:numId="3" w16cid:durableId="1879507504">
    <w:abstractNumId w:val="28"/>
  </w:num>
  <w:num w:numId="4" w16cid:durableId="1097363807">
    <w:abstractNumId w:val="4"/>
  </w:num>
  <w:num w:numId="5" w16cid:durableId="2050759709">
    <w:abstractNumId w:val="15"/>
  </w:num>
  <w:num w:numId="6" w16cid:durableId="731121331">
    <w:abstractNumId w:val="26"/>
  </w:num>
  <w:num w:numId="7" w16cid:durableId="371196059">
    <w:abstractNumId w:val="32"/>
  </w:num>
  <w:num w:numId="8" w16cid:durableId="1567494734">
    <w:abstractNumId w:val="52"/>
  </w:num>
  <w:num w:numId="9" w16cid:durableId="60450583">
    <w:abstractNumId w:val="55"/>
  </w:num>
  <w:num w:numId="10" w16cid:durableId="1803619263">
    <w:abstractNumId w:val="25"/>
  </w:num>
  <w:num w:numId="11" w16cid:durableId="729037489">
    <w:abstractNumId w:val="48"/>
  </w:num>
  <w:num w:numId="12" w16cid:durableId="1106538785">
    <w:abstractNumId w:val="12"/>
  </w:num>
  <w:num w:numId="13" w16cid:durableId="1437873056">
    <w:abstractNumId w:val="40"/>
  </w:num>
  <w:num w:numId="14" w16cid:durableId="1282683269">
    <w:abstractNumId w:val="22"/>
  </w:num>
  <w:num w:numId="15" w16cid:durableId="121727649">
    <w:abstractNumId w:val="53"/>
  </w:num>
  <w:num w:numId="16" w16cid:durableId="1312055059">
    <w:abstractNumId w:val="50"/>
  </w:num>
  <w:num w:numId="17" w16cid:durableId="288706151">
    <w:abstractNumId w:val="13"/>
  </w:num>
  <w:num w:numId="18" w16cid:durableId="318927277">
    <w:abstractNumId w:val="11"/>
  </w:num>
  <w:num w:numId="19" w16cid:durableId="907112752">
    <w:abstractNumId w:val="39"/>
  </w:num>
  <w:num w:numId="20" w16cid:durableId="1257405668">
    <w:abstractNumId w:val="5"/>
  </w:num>
  <w:num w:numId="21" w16cid:durableId="140125735">
    <w:abstractNumId w:val="44"/>
  </w:num>
  <w:num w:numId="22" w16cid:durableId="1016618039">
    <w:abstractNumId w:val="35"/>
  </w:num>
  <w:num w:numId="23" w16cid:durableId="1800566742">
    <w:abstractNumId w:val="0"/>
  </w:num>
  <w:num w:numId="24" w16cid:durableId="1803425295">
    <w:abstractNumId w:val="17"/>
  </w:num>
  <w:num w:numId="25" w16cid:durableId="1092362028">
    <w:abstractNumId w:val="1"/>
  </w:num>
  <w:num w:numId="26" w16cid:durableId="949436047">
    <w:abstractNumId w:val="6"/>
  </w:num>
  <w:num w:numId="27" w16cid:durableId="525749026">
    <w:abstractNumId w:val="34"/>
  </w:num>
  <w:num w:numId="28" w16cid:durableId="1208685508">
    <w:abstractNumId w:val="61"/>
  </w:num>
  <w:num w:numId="29" w16cid:durableId="2121602862">
    <w:abstractNumId w:val="64"/>
  </w:num>
  <w:num w:numId="30" w16cid:durableId="1316685963">
    <w:abstractNumId w:val="56"/>
  </w:num>
  <w:num w:numId="31" w16cid:durableId="859243839">
    <w:abstractNumId w:val="51"/>
  </w:num>
  <w:num w:numId="32" w16cid:durableId="1884948798">
    <w:abstractNumId w:val="45"/>
  </w:num>
  <w:num w:numId="33" w16cid:durableId="829255198">
    <w:abstractNumId w:val="27"/>
  </w:num>
  <w:num w:numId="34" w16cid:durableId="1854149854">
    <w:abstractNumId w:val="37"/>
  </w:num>
  <w:num w:numId="35" w16cid:durableId="418254630">
    <w:abstractNumId w:val="42"/>
  </w:num>
  <w:num w:numId="36" w16cid:durableId="790981918">
    <w:abstractNumId w:val="46"/>
  </w:num>
  <w:num w:numId="37" w16cid:durableId="1684281923">
    <w:abstractNumId w:val="24"/>
  </w:num>
  <w:num w:numId="38" w16cid:durableId="569733144">
    <w:abstractNumId w:val="3"/>
  </w:num>
  <w:num w:numId="39" w16cid:durableId="1028792966">
    <w:abstractNumId w:val="19"/>
  </w:num>
  <w:num w:numId="40" w16cid:durableId="530536316">
    <w:abstractNumId w:val="38"/>
  </w:num>
  <w:num w:numId="41" w16cid:durableId="1332564851">
    <w:abstractNumId w:val="10"/>
  </w:num>
  <w:num w:numId="42" w16cid:durableId="218900828">
    <w:abstractNumId w:val="30"/>
  </w:num>
  <w:num w:numId="43" w16cid:durableId="1494444743">
    <w:abstractNumId w:val="16"/>
  </w:num>
  <w:num w:numId="44" w16cid:durableId="1311910627">
    <w:abstractNumId w:val="7"/>
  </w:num>
  <w:num w:numId="45" w16cid:durableId="2016953010">
    <w:abstractNumId w:val="62"/>
  </w:num>
  <w:num w:numId="46" w16cid:durableId="980888802">
    <w:abstractNumId w:val="18"/>
  </w:num>
  <w:num w:numId="47" w16cid:durableId="1545555252">
    <w:abstractNumId w:val="65"/>
  </w:num>
  <w:num w:numId="48" w16cid:durableId="1814829671">
    <w:abstractNumId w:val="41"/>
  </w:num>
  <w:num w:numId="49" w16cid:durableId="161627223">
    <w:abstractNumId w:val="9"/>
  </w:num>
  <w:num w:numId="50" w16cid:durableId="188295632">
    <w:abstractNumId w:val="36"/>
  </w:num>
  <w:num w:numId="51" w16cid:durableId="1706321667">
    <w:abstractNumId w:val="21"/>
  </w:num>
  <w:num w:numId="52" w16cid:durableId="250895124">
    <w:abstractNumId w:val="59"/>
  </w:num>
  <w:num w:numId="53" w16cid:durableId="1543832705">
    <w:abstractNumId w:val="57"/>
  </w:num>
  <w:num w:numId="54" w16cid:durableId="1507163455">
    <w:abstractNumId w:val="29"/>
  </w:num>
  <w:num w:numId="55" w16cid:durableId="1680811366">
    <w:abstractNumId w:val="58"/>
  </w:num>
  <w:num w:numId="56" w16cid:durableId="1372267798">
    <w:abstractNumId w:val="60"/>
  </w:num>
  <w:num w:numId="57" w16cid:durableId="549852340">
    <w:abstractNumId w:val="47"/>
  </w:num>
  <w:num w:numId="58" w16cid:durableId="891966999">
    <w:abstractNumId w:val="2"/>
  </w:num>
  <w:num w:numId="59" w16cid:durableId="2134444271">
    <w:abstractNumId w:val="54"/>
  </w:num>
  <w:num w:numId="60" w16cid:durableId="654335548">
    <w:abstractNumId w:val="20"/>
  </w:num>
  <w:num w:numId="61" w16cid:durableId="732772713">
    <w:abstractNumId w:val="31"/>
  </w:num>
  <w:num w:numId="62" w16cid:durableId="1501920000">
    <w:abstractNumId w:val="63"/>
  </w:num>
  <w:num w:numId="63" w16cid:durableId="959261462">
    <w:abstractNumId w:val="8"/>
  </w:num>
  <w:num w:numId="64" w16cid:durableId="1586296">
    <w:abstractNumId w:val="14"/>
  </w:num>
  <w:num w:numId="65" w16cid:durableId="236595303">
    <w:abstractNumId w:val="23"/>
  </w:num>
  <w:num w:numId="66" w16cid:durableId="131472255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B0"/>
    <w:rsid w:val="00003C20"/>
    <w:rsid w:val="0000705E"/>
    <w:rsid w:val="00015B3C"/>
    <w:rsid w:val="0002767B"/>
    <w:rsid w:val="00040C61"/>
    <w:rsid w:val="00040FE9"/>
    <w:rsid w:val="000422C9"/>
    <w:rsid w:val="000563FF"/>
    <w:rsid w:val="000574D3"/>
    <w:rsid w:val="000603AA"/>
    <w:rsid w:val="00060DC3"/>
    <w:rsid w:val="00063314"/>
    <w:rsid w:val="000652A1"/>
    <w:rsid w:val="00067F64"/>
    <w:rsid w:val="00073DD9"/>
    <w:rsid w:val="00075D25"/>
    <w:rsid w:val="00084381"/>
    <w:rsid w:val="00086023"/>
    <w:rsid w:val="00087C93"/>
    <w:rsid w:val="00091C1E"/>
    <w:rsid w:val="000A1EBC"/>
    <w:rsid w:val="000D74CA"/>
    <w:rsid w:val="000E00E0"/>
    <w:rsid w:val="000E25E0"/>
    <w:rsid w:val="000E7D79"/>
    <w:rsid w:val="000F19A8"/>
    <w:rsid w:val="000F7B68"/>
    <w:rsid w:val="00104169"/>
    <w:rsid w:val="00107167"/>
    <w:rsid w:val="00110100"/>
    <w:rsid w:val="00110D37"/>
    <w:rsid w:val="00112756"/>
    <w:rsid w:val="00114D91"/>
    <w:rsid w:val="001173B6"/>
    <w:rsid w:val="00117DBF"/>
    <w:rsid w:val="0011EB17"/>
    <w:rsid w:val="001225E7"/>
    <w:rsid w:val="0013314C"/>
    <w:rsid w:val="001338B9"/>
    <w:rsid w:val="00133D0C"/>
    <w:rsid w:val="0014361A"/>
    <w:rsid w:val="00146D4F"/>
    <w:rsid w:val="001624D5"/>
    <w:rsid w:val="0018020A"/>
    <w:rsid w:val="00187E57"/>
    <w:rsid w:val="00195148"/>
    <w:rsid w:val="001A12F1"/>
    <w:rsid w:val="001A2F79"/>
    <w:rsid w:val="001A4F41"/>
    <w:rsid w:val="001A611B"/>
    <w:rsid w:val="001B4B78"/>
    <w:rsid w:val="001B6C83"/>
    <w:rsid w:val="001D6BB0"/>
    <w:rsid w:val="001E145B"/>
    <w:rsid w:val="001E30C7"/>
    <w:rsid w:val="001F6BAB"/>
    <w:rsid w:val="002054E7"/>
    <w:rsid w:val="0021398C"/>
    <w:rsid w:val="00223FA5"/>
    <w:rsid w:val="00231A0A"/>
    <w:rsid w:val="00241754"/>
    <w:rsid w:val="002455CC"/>
    <w:rsid w:val="00245E09"/>
    <w:rsid w:val="0027286E"/>
    <w:rsid w:val="00287694"/>
    <w:rsid w:val="00287E29"/>
    <w:rsid w:val="00295534"/>
    <w:rsid w:val="00295F3D"/>
    <w:rsid w:val="002B117A"/>
    <w:rsid w:val="002B7A18"/>
    <w:rsid w:val="002C0D0A"/>
    <w:rsid w:val="002C78A6"/>
    <w:rsid w:val="002D5A76"/>
    <w:rsid w:val="002D76A3"/>
    <w:rsid w:val="002E54E9"/>
    <w:rsid w:val="002E7A6F"/>
    <w:rsid w:val="002F3617"/>
    <w:rsid w:val="003003ED"/>
    <w:rsid w:val="00302ACE"/>
    <w:rsid w:val="0031243F"/>
    <w:rsid w:val="003171FA"/>
    <w:rsid w:val="00321733"/>
    <w:rsid w:val="00322F33"/>
    <w:rsid w:val="00323CB5"/>
    <w:rsid w:val="00331610"/>
    <w:rsid w:val="0034017D"/>
    <w:rsid w:val="00346514"/>
    <w:rsid w:val="00361343"/>
    <w:rsid w:val="00361805"/>
    <w:rsid w:val="00366BC6"/>
    <w:rsid w:val="00370CA3"/>
    <w:rsid w:val="003727E0"/>
    <w:rsid w:val="003924CB"/>
    <w:rsid w:val="00394CDB"/>
    <w:rsid w:val="00397C5E"/>
    <w:rsid w:val="003B17BF"/>
    <w:rsid w:val="003C01AB"/>
    <w:rsid w:val="003D0051"/>
    <w:rsid w:val="003D5EDB"/>
    <w:rsid w:val="003E1290"/>
    <w:rsid w:val="003E2D9A"/>
    <w:rsid w:val="003E3E74"/>
    <w:rsid w:val="003F09E2"/>
    <w:rsid w:val="003F1D7C"/>
    <w:rsid w:val="003F268A"/>
    <w:rsid w:val="003F4EFC"/>
    <w:rsid w:val="003F75E5"/>
    <w:rsid w:val="004020A4"/>
    <w:rsid w:val="004168C6"/>
    <w:rsid w:val="00420D59"/>
    <w:rsid w:val="0042136F"/>
    <w:rsid w:val="00432BA9"/>
    <w:rsid w:val="004423DD"/>
    <w:rsid w:val="0045050E"/>
    <w:rsid w:val="00453198"/>
    <w:rsid w:val="00455B74"/>
    <w:rsid w:val="00456420"/>
    <w:rsid w:val="00476915"/>
    <w:rsid w:val="00477134"/>
    <w:rsid w:val="0048291F"/>
    <w:rsid w:val="00487917"/>
    <w:rsid w:val="00496715"/>
    <w:rsid w:val="004A3EBC"/>
    <w:rsid w:val="004A4DFB"/>
    <w:rsid w:val="004A52F4"/>
    <w:rsid w:val="004C296E"/>
    <w:rsid w:val="004D1E6D"/>
    <w:rsid w:val="004E2953"/>
    <w:rsid w:val="004F746E"/>
    <w:rsid w:val="00516952"/>
    <w:rsid w:val="00520FD5"/>
    <w:rsid w:val="00530E75"/>
    <w:rsid w:val="00533BF7"/>
    <w:rsid w:val="00535B5A"/>
    <w:rsid w:val="00542BBE"/>
    <w:rsid w:val="0054329E"/>
    <w:rsid w:val="0056435D"/>
    <w:rsid w:val="00571BBB"/>
    <w:rsid w:val="005721B4"/>
    <w:rsid w:val="005856B6"/>
    <w:rsid w:val="005960D2"/>
    <w:rsid w:val="005A537B"/>
    <w:rsid w:val="005B2E7E"/>
    <w:rsid w:val="005B4EF9"/>
    <w:rsid w:val="005B6AA2"/>
    <w:rsid w:val="005C2FE3"/>
    <w:rsid w:val="005D0390"/>
    <w:rsid w:val="005D244E"/>
    <w:rsid w:val="005E0808"/>
    <w:rsid w:val="005E3435"/>
    <w:rsid w:val="005E76AC"/>
    <w:rsid w:val="005F506B"/>
    <w:rsid w:val="005F757F"/>
    <w:rsid w:val="00641A71"/>
    <w:rsid w:val="006455E5"/>
    <w:rsid w:val="006458BE"/>
    <w:rsid w:val="006460EB"/>
    <w:rsid w:val="00653C65"/>
    <w:rsid w:val="0065544D"/>
    <w:rsid w:val="00656C48"/>
    <w:rsid w:val="00657F91"/>
    <w:rsid w:val="006609B4"/>
    <w:rsid w:val="00661193"/>
    <w:rsid w:val="00663783"/>
    <w:rsid w:val="00683476"/>
    <w:rsid w:val="006A0C6F"/>
    <w:rsid w:val="006A19D2"/>
    <w:rsid w:val="006B0DE1"/>
    <w:rsid w:val="006B79B2"/>
    <w:rsid w:val="006C69DE"/>
    <w:rsid w:val="006C7FCB"/>
    <w:rsid w:val="006D0E44"/>
    <w:rsid w:val="006D2A84"/>
    <w:rsid w:val="006D4ADD"/>
    <w:rsid w:val="006D4C47"/>
    <w:rsid w:val="006E0A1E"/>
    <w:rsid w:val="006F4981"/>
    <w:rsid w:val="0070631B"/>
    <w:rsid w:val="007110E2"/>
    <w:rsid w:val="00711BD2"/>
    <w:rsid w:val="007444D6"/>
    <w:rsid w:val="00747783"/>
    <w:rsid w:val="00752315"/>
    <w:rsid w:val="007547B5"/>
    <w:rsid w:val="00763B0B"/>
    <w:rsid w:val="00775347"/>
    <w:rsid w:val="00780FA7"/>
    <w:rsid w:val="00783D4B"/>
    <w:rsid w:val="00784066"/>
    <w:rsid w:val="00786455"/>
    <w:rsid w:val="007879D2"/>
    <w:rsid w:val="00796DDD"/>
    <w:rsid w:val="00797A5C"/>
    <w:rsid w:val="007A452E"/>
    <w:rsid w:val="007A4AAC"/>
    <w:rsid w:val="007A6AB0"/>
    <w:rsid w:val="007C6121"/>
    <w:rsid w:val="007F5D32"/>
    <w:rsid w:val="007F7910"/>
    <w:rsid w:val="00812DF0"/>
    <w:rsid w:val="00813A78"/>
    <w:rsid w:val="00815192"/>
    <w:rsid w:val="00816F9B"/>
    <w:rsid w:val="00831D82"/>
    <w:rsid w:val="00834206"/>
    <w:rsid w:val="0083644B"/>
    <w:rsid w:val="00836E1E"/>
    <w:rsid w:val="0083730D"/>
    <w:rsid w:val="0084081D"/>
    <w:rsid w:val="00843583"/>
    <w:rsid w:val="00845ECF"/>
    <w:rsid w:val="008469F1"/>
    <w:rsid w:val="00853A33"/>
    <w:rsid w:val="008676B1"/>
    <w:rsid w:val="00872D1A"/>
    <w:rsid w:val="00891503"/>
    <w:rsid w:val="008A345A"/>
    <w:rsid w:val="008C217C"/>
    <w:rsid w:val="008E41C5"/>
    <w:rsid w:val="008E48A6"/>
    <w:rsid w:val="008E7CE6"/>
    <w:rsid w:val="008F2486"/>
    <w:rsid w:val="008F66A6"/>
    <w:rsid w:val="00906F04"/>
    <w:rsid w:val="009070DD"/>
    <w:rsid w:val="00911105"/>
    <w:rsid w:val="00912A56"/>
    <w:rsid w:val="009137C3"/>
    <w:rsid w:val="00916E3D"/>
    <w:rsid w:val="00925B1D"/>
    <w:rsid w:val="00927927"/>
    <w:rsid w:val="00930AB9"/>
    <w:rsid w:val="009325BB"/>
    <w:rsid w:val="00946190"/>
    <w:rsid w:val="0095214B"/>
    <w:rsid w:val="00952644"/>
    <w:rsid w:val="009567C8"/>
    <w:rsid w:val="0096022B"/>
    <w:rsid w:val="009677ED"/>
    <w:rsid w:val="00967E50"/>
    <w:rsid w:val="009772EB"/>
    <w:rsid w:val="00982E90"/>
    <w:rsid w:val="009933FD"/>
    <w:rsid w:val="009B39F5"/>
    <w:rsid w:val="009C6545"/>
    <w:rsid w:val="009E1420"/>
    <w:rsid w:val="00A02C75"/>
    <w:rsid w:val="00A03E12"/>
    <w:rsid w:val="00A06233"/>
    <w:rsid w:val="00A1002F"/>
    <w:rsid w:val="00A11E0B"/>
    <w:rsid w:val="00A14799"/>
    <w:rsid w:val="00A25135"/>
    <w:rsid w:val="00A271EB"/>
    <w:rsid w:val="00A31D67"/>
    <w:rsid w:val="00A328F8"/>
    <w:rsid w:val="00A32D5B"/>
    <w:rsid w:val="00A357E1"/>
    <w:rsid w:val="00A37DFF"/>
    <w:rsid w:val="00A41D30"/>
    <w:rsid w:val="00A428B2"/>
    <w:rsid w:val="00A43642"/>
    <w:rsid w:val="00A474FF"/>
    <w:rsid w:val="00A63F9B"/>
    <w:rsid w:val="00A73C9C"/>
    <w:rsid w:val="00A74846"/>
    <w:rsid w:val="00AA3B77"/>
    <w:rsid w:val="00AB1BBB"/>
    <w:rsid w:val="00AE014E"/>
    <w:rsid w:val="00AE41E4"/>
    <w:rsid w:val="00AF27A4"/>
    <w:rsid w:val="00AF6374"/>
    <w:rsid w:val="00AF6DB7"/>
    <w:rsid w:val="00B05922"/>
    <w:rsid w:val="00B128D0"/>
    <w:rsid w:val="00B159A1"/>
    <w:rsid w:val="00B25286"/>
    <w:rsid w:val="00B424DA"/>
    <w:rsid w:val="00B43484"/>
    <w:rsid w:val="00B450D6"/>
    <w:rsid w:val="00B62F43"/>
    <w:rsid w:val="00B65357"/>
    <w:rsid w:val="00B65A60"/>
    <w:rsid w:val="00B70110"/>
    <w:rsid w:val="00B721BA"/>
    <w:rsid w:val="00B84522"/>
    <w:rsid w:val="00B969C7"/>
    <w:rsid w:val="00BA6259"/>
    <w:rsid w:val="00BB19CF"/>
    <w:rsid w:val="00BD5DB6"/>
    <w:rsid w:val="00BE05D3"/>
    <w:rsid w:val="00BE41DB"/>
    <w:rsid w:val="00BE4E28"/>
    <w:rsid w:val="00BE6B6D"/>
    <w:rsid w:val="00BE7B2C"/>
    <w:rsid w:val="00BF3FD6"/>
    <w:rsid w:val="00C00A1F"/>
    <w:rsid w:val="00C04D3F"/>
    <w:rsid w:val="00C07A77"/>
    <w:rsid w:val="00C16F7B"/>
    <w:rsid w:val="00C402D1"/>
    <w:rsid w:val="00C41263"/>
    <w:rsid w:val="00C443C8"/>
    <w:rsid w:val="00C521B5"/>
    <w:rsid w:val="00C528B5"/>
    <w:rsid w:val="00C615F4"/>
    <w:rsid w:val="00C72269"/>
    <w:rsid w:val="00C77BC0"/>
    <w:rsid w:val="00C87227"/>
    <w:rsid w:val="00C908BC"/>
    <w:rsid w:val="00C9092B"/>
    <w:rsid w:val="00C92F8C"/>
    <w:rsid w:val="00C94C4A"/>
    <w:rsid w:val="00CA3040"/>
    <w:rsid w:val="00CA6B58"/>
    <w:rsid w:val="00CB31E6"/>
    <w:rsid w:val="00CC1815"/>
    <w:rsid w:val="00CC6A79"/>
    <w:rsid w:val="00CD0FC1"/>
    <w:rsid w:val="00CF3B0F"/>
    <w:rsid w:val="00CF6142"/>
    <w:rsid w:val="00D04685"/>
    <w:rsid w:val="00D04AED"/>
    <w:rsid w:val="00D11549"/>
    <w:rsid w:val="00D1175E"/>
    <w:rsid w:val="00D11BFC"/>
    <w:rsid w:val="00D12831"/>
    <w:rsid w:val="00D1487F"/>
    <w:rsid w:val="00D1514D"/>
    <w:rsid w:val="00D545EE"/>
    <w:rsid w:val="00D546B2"/>
    <w:rsid w:val="00D77F4B"/>
    <w:rsid w:val="00D8574F"/>
    <w:rsid w:val="00D927E1"/>
    <w:rsid w:val="00D9552D"/>
    <w:rsid w:val="00DA0F6F"/>
    <w:rsid w:val="00DB0301"/>
    <w:rsid w:val="00DD5BC0"/>
    <w:rsid w:val="00DE42AB"/>
    <w:rsid w:val="00E03DDE"/>
    <w:rsid w:val="00E2788F"/>
    <w:rsid w:val="00E30447"/>
    <w:rsid w:val="00E33013"/>
    <w:rsid w:val="00E33184"/>
    <w:rsid w:val="00E35BA7"/>
    <w:rsid w:val="00E41088"/>
    <w:rsid w:val="00E46CFA"/>
    <w:rsid w:val="00E67BAD"/>
    <w:rsid w:val="00E72FF0"/>
    <w:rsid w:val="00E76ACB"/>
    <w:rsid w:val="00E805E9"/>
    <w:rsid w:val="00E8145F"/>
    <w:rsid w:val="00E84A30"/>
    <w:rsid w:val="00E85BD3"/>
    <w:rsid w:val="00E85EB6"/>
    <w:rsid w:val="00E94139"/>
    <w:rsid w:val="00E966D6"/>
    <w:rsid w:val="00EA01B7"/>
    <w:rsid w:val="00EA5BE4"/>
    <w:rsid w:val="00EB4CEF"/>
    <w:rsid w:val="00EC11A3"/>
    <w:rsid w:val="00ED39DF"/>
    <w:rsid w:val="00EE7A75"/>
    <w:rsid w:val="00EF0D7F"/>
    <w:rsid w:val="00F07EEE"/>
    <w:rsid w:val="00F100F7"/>
    <w:rsid w:val="00F15E71"/>
    <w:rsid w:val="00F22829"/>
    <w:rsid w:val="00F30926"/>
    <w:rsid w:val="00F34780"/>
    <w:rsid w:val="00F36752"/>
    <w:rsid w:val="00F44140"/>
    <w:rsid w:val="00F558CB"/>
    <w:rsid w:val="00F67ADA"/>
    <w:rsid w:val="00F74D62"/>
    <w:rsid w:val="00F90380"/>
    <w:rsid w:val="00FA0A08"/>
    <w:rsid w:val="00FB1734"/>
    <w:rsid w:val="00FC63DE"/>
    <w:rsid w:val="00FD1615"/>
    <w:rsid w:val="00FD1620"/>
    <w:rsid w:val="00FE12D4"/>
    <w:rsid w:val="00FE5A65"/>
    <w:rsid w:val="00FF072E"/>
    <w:rsid w:val="00FF1385"/>
    <w:rsid w:val="00FF2506"/>
    <w:rsid w:val="00FF7399"/>
    <w:rsid w:val="031A94F0"/>
    <w:rsid w:val="0380D9F2"/>
    <w:rsid w:val="0522DD50"/>
    <w:rsid w:val="08F5A587"/>
    <w:rsid w:val="09671915"/>
    <w:rsid w:val="096C9542"/>
    <w:rsid w:val="09AF0B62"/>
    <w:rsid w:val="09B1A47D"/>
    <w:rsid w:val="0C13C497"/>
    <w:rsid w:val="0D6EBB18"/>
    <w:rsid w:val="0DAE4741"/>
    <w:rsid w:val="0F89A102"/>
    <w:rsid w:val="108235ED"/>
    <w:rsid w:val="11984A61"/>
    <w:rsid w:val="11CD6BCF"/>
    <w:rsid w:val="11D6B341"/>
    <w:rsid w:val="140E1A9B"/>
    <w:rsid w:val="1727728E"/>
    <w:rsid w:val="176B1AE1"/>
    <w:rsid w:val="17880D31"/>
    <w:rsid w:val="1A961965"/>
    <w:rsid w:val="1B006D69"/>
    <w:rsid w:val="1B1222FA"/>
    <w:rsid w:val="1C464580"/>
    <w:rsid w:val="1CD5E10E"/>
    <w:rsid w:val="1CF06264"/>
    <w:rsid w:val="1D1A9379"/>
    <w:rsid w:val="2006DDA7"/>
    <w:rsid w:val="201A19F6"/>
    <w:rsid w:val="2216FAFE"/>
    <w:rsid w:val="227C5202"/>
    <w:rsid w:val="22B40CFC"/>
    <w:rsid w:val="238557D5"/>
    <w:rsid w:val="24BEBE14"/>
    <w:rsid w:val="24C4FACD"/>
    <w:rsid w:val="27D3F020"/>
    <w:rsid w:val="27E57CF1"/>
    <w:rsid w:val="27F003B5"/>
    <w:rsid w:val="29213E5A"/>
    <w:rsid w:val="2B52C5C6"/>
    <w:rsid w:val="2B75573A"/>
    <w:rsid w:val="2CB914CC"/>
    <w:rsid w:val="2D05D352"/>
    <w:rsid w:val="2DBD29A9"/>
    <w:rsid w:val="2F768B37"/>
    <w:rsid w:val="308E522C"/>
    <w:rsid w:val="31FB1D02"/>
    <w:rsid w:val="34AFE352"/>
    <w:rsid w:val="35E5801E"/>
    <w:rsid w:val="35FA0752"/>
    <w:rsid w:val="3BF1D1D5"/>
    <w:rsid w:val="3CEE0422"/>
    <w:rsid w:val="3E37BC5E"/>
    <w:rsid w:val="3E92BFEB"/>
    <w:rsid w:val="3EF461DC"/>
    <w:rsid w:val="3F7A581F"/>
    <w:rsid w:val="40BFBDA1"/>
    <w:rsid w:val="41A45E1F"/>
    <w:rsid w:val="41A77AB4"/>
    <w:rsid w:val="430ADF0B"/>
    <w:rsid w:val="4353B1DA"/>
    <w:rsid w:val="478A8F05"/>
    <w:rsid w:val="47FE7197"/>
    <w:rsid w:val="48597A2F"/>
    <w:rsid w:val="485C0C5C"/>
    <w:rsid w:val="4A285F9E"/>
    <w:rsid w:val="4A672AE5"/>
    <w:rsid w:val="4AB5A049"/>
    <w:rsid w:val="4AB92372"/>
    <w:rsid w:val="4B124E82"/>
    <w:rsid w:val="4B227091"/>
    <w:rsid w:val="4D2AADAF"/>
    <w:rsid w:val="4F072A79"/>
    <w:rsid w:val="4F1D95B5"/>
    <w:rsid w:val="4F830BB5"/>
    <w:rsid w:val="503DC79D"/>
    <w:rsid w:val="53B51C64"/>
    <w:rsid w:val="5786065E"/>
    <w:rsid w:val="59C49B57"/>
    <w:rsid w:val="5A6D13A5"/>
    <w:rsid w:val="5C5E076B"/>
    <w:rsid w:val="5E234EBC"/>
    <w:rsid w:val="5FB375AC"/>
    <w:rsid w:val="617FACCF"/>
    <w:rsid w:val="61DB99F8"/>
    <w:rsid w:val="64667755"/>
    <w:rsid w:val="671A5D14"/>
    <w:rsid w:val="69619415"/>
    <w:rsid w:val="69884185"/>
    <w:rsid w:val="6A079799"/>
    <w:rsid w:val="6A5936E3"/>
    <w:rsid w:val="6C44E5F8"/>
    <w:rsid w:val="6FE20C7B"/>
    <w:rsid w:val="6FF5EE8E"/>
    <w:rsid w:val="6FFB6CE4"/>
    <w:rsid w:val="70F7313E"/>
    <w:rsid w:val="71E5B9E3"/>
    <w:rsid w:val="732342CA"/>
    <w:rsid w:val="7332AE0C"/>
    <w:rsid w:val="741928A2"/>
    <w:rsid w:val="7522E30F"/>
    <w:rsid w:val="75443DD8"/>
    <w:rsid w:val="75797B9D"/>
    <w:rsid w:val="771E3EB7"/>
    <w:rsid w:val="774DB138"/>
    <w:rsid w:val="7A26A598"/>
    <w:rsid w:val="7BC74F81"/>
    <w:rsid w:val="7D2F3723"/>
    <w:rsid w:val="7DE69255"/>
    <w:rsid w:val="7DF0C566"/>
    <w:rsid w:val="7ED724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8D63"/>
  <w15:chartTrackingRefBased/>
  <w15:docId w15:val="{E8B68AF6-C14A-47A0-BFD7-82BCE1A2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4C"/>
  </w:style>
  <w:style w:type="paragraph" w:styleId="Heading1">
    <w:name w:val="heading 1"/>
    <w:basedOn w:val="Normal"/>
    <w:next w:val="Normal"/>
    <w:link w:val="Heading1Char"/>
    <w:uiPriority w:val="9"/>
    <w:qFormat/>
    <w:rsid w:val="001D6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6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6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6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BB0"/>
    <w:rPr>
      <w:rFonts w:eastAsiaTheme="majorEastAsia" w:cstheme="majorBidi"/>
      <w:color w:val="272727" w:themeColor="text1" w:themeTint="D8"/>
    </w:rPr>
  </w:style>
  <w:style w:type="paragraph" w:styleId="Title">
    <w:name w:val="Title"/>
    <w:basedOn w:val="Normal"/>
    <w:next w:val="Normal"/>
    <w:link w:val="TitleChar"/>
    <w:uiPriority w:val="10"/>
    <w:qFormat/>
    <w:rsid w:val="001D6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BB0"/>
    <w:pPr>
      <w:spacing w:before="160"/>
      <w:jc w:val="center"/>
    </w:pPr>
    <w:rPr>
      <w:i/>
      <w:iCs/>
      <w:color w:val="404040" w:themeColor="text1" w:themeTint="BF"/>
    </w:rPr>
  </w:style>
  <w:style w:type="character" w:customStyle="1" w:styleId="QuoteChar">
    <w:name w:val="Quote Char"/>
    <w:basedOn w:val="DefaultParagraphFont"/>
    <w:link w:val="Quote"/>
    <w:uiPriority w:val="29"/>
    <w:rsid w:val="001D6BB0"/>
    <w:rPr>
      <w:i/>
      <w:iCs/>
      <w:color w:val="404040" w:themeColor="text1" w:themeTint="BF"/>
    </w:rPr>
  </w:style>
  <w:style w:type="paragraph" w:styleId="ListParagraph">
    <w:name w:val="List Paragraph"/>
    <w:basedOn w:val="Normal"/>
    <w:uiPriority w:val="34"/>
    <w:qFormat/>
    <w:rsid w:val="001D6BB0"/>
    <w:pPr>
      <w:ind w:left="720"/>
      <w:contextualSpacing/>
    </w:pPr>
  </w:style>
  <w:style w:type="character" w:styleId="IntenseEmphasis">
    <w:name w:val="Intense Emphasis"/>
    <w:basedOn w:val="DefaultParagraphFont"/>
    <w:uiPriority w:val="21"/>
    <w:qFormat/>
    <w:rsid w:val="001D6BB0"/>
    <w:rPr>
      <w:i/>
      <w:iCs/>
      <w:color w:val="0F4761" w:themeColor="accent1" w:themeShade="BF"/>
    </w:rPr>
  </w:style>
  <w:style w:type="paragraph" w:styleId="IntenseQuote">
    <w:name w:val="Intense Quote"/>
    <w:basedOn w:val="Normal"/>
    <w:next w:val="Normal"/>
    <w:link w:val="IntenseQuoteChar"/>
    <w:uiPriority w:val="30"/>
    <w:qFormat/>
    <w:rsid w:val="001D6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BB0"/>
    <w:rPr>
      <w:i/>
      <w:iCs/>
      <w:color w:val="0F4761" w:themeColor="accent1" w:themeShade="BF"/>
    </w:rPr>
  </w:style>
  <w:style w:type="character" w:styleId="IntenseReference">
    <w:name w:val="Intense Reference"/>
    <w:basedOn w:val="DefaultParagraphFont"/>
    <w:uiPriority w:val="32"/>
    <w:qFormat/>
    <w:rsid w:val="001D6BB0"/>
    <w:rPr>
      <w:b/>
      <w:bCs/>
      <w:smallCaps/>
      <w:color w:val="0F4761" w:themeColor="accent1" w:themeShade="BF"/>
      <w:spacing w:val="5"/>
    </w:rPr>
  </w:style>
  <w:style w:type="character" w:styleId="Hyperlink">
    <w:name w:val="Hyperlink"/>
    <w:basedOn w:val="DefaultParagraphFont"/>
    <w:uiPriority w:val="99"/>
    <w:unhideWhenUsed/>
    <w:rsid w:val="00DD5BC0"/>
    <w:rPr>
      <w:color w:val="467886" w:themeColor="hyperlink"/>
      <w:u w:val="single"/>
    </w:rPr>
  </w:style>
  <w:style w:type="character" w:styleId="UnresolvedMention">
    <w:name w:val="Unresolved Mention"/>
    <w:basedOn w:val="DefaultParagraphFont"/>
    <w:uiPriority w:val="99"/>
    <w:semiHidden/>
    <w:unhideWhenUsed/>
    <w:rsid w:val="00DD5BC0"/>
    <w:rPr>
      <w:color w:val="605E5C"/>
      <w:shd w:val="clear" w:color="auto" w:fill="E1DFDD"/>
    </w:rPr>
  </w:style>
  <w:style w:type="table" w:styleId="TableGrid">
    <w:name w:val="Table Grid"/>
    <w:basedOn w:val="TableNormal"/>
    <w:uiPriority w:val="39"/>
    <w:rsid w:val="0095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9CF"/>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D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E6D"/>
  </w:style>
  <w:style w:type="paragraph" w:styleId="Footer">
    <w:name w:val="footer"/>
    <w:basedOn w:val="Normal"/>
    <w:link w:val="FooterChar"/>
    <w:uiPriority w:val="99"/>
    <w:unhideWhenUsed/>
    <w:rsid w:val="004D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E6D"/>
  </w:style>
  <w:style w:type="paragraph" w:styleId="FootnoteText">
    <w:name w:val="footnote text"/>
    <w:basedOn w:val="Normal"/>
    <w:link w:val="FootnoteTextChar"/>
    <w:uiPriority w:val="99"/>
    <w:semiHidden/>
    <w:unhideWhenUsed/>
    <w:rsid w:val="006B0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DE1"/>
    <w:rPr>
      <w:sz w:val="20"/>
      <w:szCs w:val="20"/>
    </w:rPr>
  </w:style>
  <w:style w:type="character" w:styleId="FootnoteReference">
    <w:name w:val="footnote reference"/>
    <w:basedOn w:val="DefaultParagraphFont"/>
    <w:uiPriority w:val="99"/>
    <w:semiHidden/>
    <w:unhideWhenUsed/>
    <w:rsid w:val="006B0DE1"/>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0A1E"/>
    <w:rPr>
      <w:b/>
      <w:bCs/>
    </w:rPr>
  </w:style>
  <w:style w:type="character" w:customStyle="1" w:styleId="CommentSubjectChar">
    <w:name w:val="Comment Subject Char"/>
    <w:basedOn w:val="CommentTextChar"/>
    <w:link w:val="CommentSubject"/>
    <w:uiPriority w:val="99"/>
    <w:semiHidden/>
    <w:rsid w:val="006E0A1E"/>
    <w:rPr>
      <w:b/>
      <w:bCs/>
      <w:sz w:val="20"/>
      <w:szCs w:val="20"/>
    </w:rPr>
  </w:style>
  <w:style w:type="paragraph" w:styleId="Revision">
    <w:name w:val="Revision"/>
    <w:hidden/>
    <w:uiPriority w:val="99"/>
    <w:semiHidden/>
    <w:rsid w:val="008F2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39727">
      <w:bodyDiv w:val="1"/>
      <w:marLeft w:val="0"/>
      <w:marRight w:val="0"/>
      <w:marTop w:val="0"/>
      <w:marBottom w:val="0"/>
      <w:divBdr>
        <w:top w:val="none" w:sz="0" w:space="0" w:color="auto"/>
        <w:left w:val="none" w:sz="0" w:space="0" w:color="auto"/>
        <w:bottom w:val="none" w:sz="0" w:space="0" w:color="auto"/>
        <w:right w:val="none" w:sz="0" w:space="0" w:color="auto"/>
      </w:divBdr>
    </w:div>
    <w:div w:id="523523370">
      <w:bodyDiv w:val="1"/>
      <w:marLeft w:val="0"/>
      <w:marRight w:val="0"/>
      <w:marTop w:val="0"/>
      <w:marBottom w:val="0"/>
      <w:divBdr>
        <w:top w:val="none" w:sz="0" w:space="0" w:color="auto"/>
        <w:left w:val="none" w:sz="0" w:space="0" w:color="auto"/>
        <w:bottom w:val="none" w:sz="0" w:space="0" w:color="auto"/>
        <w:right w:val="none" w:sz="0" w:space="0" w:color="auto"/>
      </w:divBdr>
    </w:div>
    <w:div w:id="711999460">
      <w:bodyDiv w:val="1"/>
      <w:marLeft w:val="0"/>
      <w:marRight w:val="0"/>
      <w:marTop w:val="0"/>
      <w:marBottom w:val="0"/>
      <w:divBdr>
        <w:top w:val="none" w:sz="0" w:space="0" w:color="auto"/>
        <w:left w:val="none" w:sz="0" w:space="0" w:color="auto"/>
        <w:bottom w:val="none" w:sz="0" w:space="0" w:color="auto"/>
        <w:right w:val="none" w:sz="0" w:space="0" w:color="auto"/>
      </w:divBdr>
    </w:div>
    <w:div w:id="937912220">
      <w:bodyDiv w:val="1"/>
      <w:marLeft w:val="0"/>
      <w:marRight w:val="0"/>
      <w:marTop w:val="0"/>
      <w:marBottom w:val="0"/>
      <w:divBdr>
        <w:top w:val="none" w:sz="0" w:space="0" w:color="auto"/>
        <w:left w:val="none" w:sz="0" w:space="0" w:color="auto"/>
        <w:bottom w:val="none" w:sz="0" w:space="0" w:color="auto"/>
        <w:right w:val="none" w:sz="0" w:space="0" w:color="auto"/>
      </w:divBdr>
    </w:div>
    <w:div w:id="1344935958">
      <w:bodyDiv w:val="1"/>
      <w:marLeft w:val="0"/>
      <w:marRight w:val="0"/>
      <w:marTop w:val="0"/>
      <w:marBottom w:val="0"/>
      <w:divBdr>
        <w:top w:val="none" w:sz="0" w:space="0" w:color="auto"/>
        <w:left w:val="none" w:sz="0" w:space="0" w:color="auto"/>
        <w:bottom w:val="none" w:sz="0" w:space="0" w:color="auto"/>
        <w:right w:val="none" w:sz="0" w:space="0" w:color="auto"/>
      </w:divBdr>
    </w:div>
    <w:div w:id="1452818187">
      <w:bodyDiv w:val="1"/>
      <w:marLeft w:val="0"/>
      <w:marRight w:val="0"/>
      <w:marTop w:val="0"/>
      <w:marBottom w:val="0"/>
      <w:divBdr>
        <w:top w:val="none" w:sz="0" w:space="0" w:color="auto"/>
        <w:left w:val="none" w:sz="0" w:space="0" w:color="auto"/>
        <w:bottom w:val="none" w:sz="0" w:space="0" w:color="auto"/>
        <w:right w:val="none" w:sz="0" w:space="0" w:color="auto"/>
      </w:divBdr>
    </w:div>
    <w:div w:id="1528592265">
      <w:bodyDiv w:val="1"/>
      <w:marLeft w:val="0"/>
      <w:marRight w:val="0"/>
      <w:marTop w:val="0"/>
      <w:marBottom w:val="0"/>
      <w:divBdr>
        <w:top w:val="none" w:sz="0" w:space="0" w:color="auto"/>
        <w:left w:val="none" w:sz="0" w:space="0" w:color="auto"/>
        <w:bottom w:val="none" w:sz="0" w:space="0" w:color="auto"/>
        <w:right w:val="none" w:sz="0" w:space="0" w:color="auto"/>
      </w:divBdr>
      <w:divsChild>
        <w:div w:id="1823277926">
          <w:marLeft w:val="0"/>
          <w:marRight w:val="0"/>
          <w:marTop w:val="0"/>
          <w:marBottom w:val="0"/>
          <w:divBdr>
            <w:top w:val="none" w:sz="0" w:space="0" w:color="auto"/>
            <w:left w:val="none" w:sz="0" w:space="0" w:color="auto"/>
            <w:bottom w:val="none" w:sz="0" w:space="0" w:color="auto"/>
            <w:right w:val="none" w:sz="0" w:space="0" w:color="auto"/>
          </w:divBdr>
          <w:divsChild>
            <w:div w:id="520897113">
              <w:marLeft w:val="0"/>
              <w:marRight w:val="0"/>
              <w:marTop w:val="0"/>
              <w:marBottom w:val="0"/>
              <w:divBdr>
                <w:top w:val="none" w:sz="0" w:space="0" w:color="auto"/>
                <w:left w:val="none" w:sz="0" w:space="0" w:color="auto"/>
                <w:bottom w:val="none" w:sz="0" w:space="0" w:color="auto"/>
                <w:right w:val="none" w:sz="0" w:space="0" w:color="auto"/>
              </w:divBdr>
              <w:divsChild>
                <w:div w:id="411008089">
                  <w:marLeft w:val="0"/>
                  <w:marRight w:val="0"/>
                  <w:marTop w:val="0"/>
                  <w:marBottom w:val="0"/>
                  <w:divBdr>
                    <w:top w:val="none" w:sz="0" w:space="0" w:color="auto"/>
                    <w:left w:val="none" w:sz="0" w:space="0" w:color="auto"/>
                    <w:bottom w:val="none" w:sz="0" w:space="0" w:color="auto"/>
                    <w:right w:val="none" w:sz="0" w:space="0" w:color="auto"/>
                  </w:divBdr>
                  <w:divsChild>
                    <w:div w:id="1436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05546">
      <w:bodyDiv w:val="1"/>
      <w:marLeft w:val="0"/>
      <w:marRight w:val="0"/>
      <w:marTop w:val="0"/>
      <w:marBottom w:val="0"/>
      <w:divBdr>
        <w:top w:val="none" w:sz="0" w:space="0" w:color="auto"/>
        <w:left w:val="none" w:sz="0" w:space="0" w:color="auto"/>
        <w:bottom w:val="none" w:sz="0" w:space="0" w:color="auto"/>
        <w:right w:val="none" w:sz="0" w:space="0" w:color="auto"/>
      </w:divBdr>
      <w:divsChild>
        <w:div w:id="1939438383">
          <w:marLeft w:val="0"/>
          <w:marRight w:val="0"/>
          <w:marTop w:val="0"/>
          <w:marBottom w:val="0"/>
          <w:divBdr>
            <w:top w:val="none" w:sz="0" w:space="0" w:color="auto"/>
            <w:left w:val="none" w:sz="0" w:space="0" w:color="auto"/>
            <w:bottom w:val="none" w:sz="0" w:space="0" w:color="auto"/>
            <w:right w:val="none" w:sz="0" w:space="0" w:color="auto"/>
          </w:divBdr>
          <w:divsChild>
            <w:div w:id="16587514">
              <w:marLeft w:val="0"/>
              <w:marRight w:val="0"/>
              <w:marTop w:val="0"/>
              <w:marBottom w:val="0"/>
              <w:divBdr>
                <w:top w:val="none" w:sz="0" w:space="0" w:color="auto"/>
                <w:left w:val="none" w:sz="0" w:space="0" w:color="auto"/>
                <w:bottom w:val="none" w:sz="0" w:space="0" w:color="auto"/>
                <w:right w:val="none" w:sz="0" w:space="0" w:color="auto"/>
              </w:divBdr>
              <w:divsChild>
                <w:div w:id="1833989775">
                  <w:marLeft w:val="0"/>
                  <w:marRight w:val="0"/>
                  <w:marTop w:val="0"/>
                  <w:marBottom w:val="0"/>
                  <w:divBdr>
                    <w:top w:val="none" w:sz="0" w:space="0" w:color="auto"/>
                    <w:left w:val="none" w:sz="0" w:space="0" w:color="auto"/>
                    <w:bottom w:val="none" w:sz="0" w:space="0" w:color="auto"/>
                    <w:right w:val="none" w:sz="0" w:space="0" w:color="auto"/>
                  </w:divBdr>
                  <w:divsChild>
                    <w:div w:id="1866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8202">
      <w:bodyDiv w:val="1"/>
      <w:marLeft w:val="0"/>
      <w:marRight w:val="0"/>
      <w:marTop w:val="0"/>
      <w:marBottom w:val="0"/>
      <w:divBdr>
        <w:top w:val="none" w:sz="0" w:space="0" w:color="auto"/>
        <w:left w:val="none" w:sz="0" w:space="0" w:color="auto"/>
        <w:bottom w:val="none" w:sz="0" w:space="0" w:color="auto"/>
        <w:right w:val="none" w:sz="0" w:space="0" w:color="auto"/>
      </w:divBdr>
    </w:div>
    <w:div w:id="1974290174">
      <w:bodyDiv w:val="1"/>
      <w:marLeft w:val="0"/>
      <w:marRight w:val="0"/>
      <w:marTop w:val="0"/>
      <w:marBottom w:val="0"/>
      <w:divBdr>
        <w:top w:val="none" w:sz="0" w:space="0" w:color="auto"/>
        <w:left w:val="none" w:sz="0" w:space="0" w:color="auto"/>
        <w:bottom w:val="none" w:sz="0" w:space="0" w:color="auto"/>
        <w:right w:val="none" w:sz="0" w:space="0" w:color="auto"/>
      </w:divBdr>
    </w:div>
    <w:div w:id="2119370018">
      <w:bodyDiv w:val="1"/>
      <w:marLeft w:val="0"/>
      <w:marRight w:val="0"/>
      <w:marTop w:val="0"/>
      <w:marBottom w:val="0"/>
      <w:divBdr>
        <w:top w:val="none" w:sz="0" w:space="0" w:color="auto"/>
        <w:left w:val="none" w:sz="0" w:space="0" w:color="auto"/>
        <w:bottom w:val="none" w:sz="0" w:space="0" w:color="auto"/>
        <w:right w:val="none" w:sz="0" w:space="0" w:color="auto"/>
      </w:divBdr>
    </w:div>
    <w:div w:id="21265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57BB08B9B2F439C08EB411CBDC3BA" ma:contentTypeVersion="4" ma:contentTypeDescription="Create a new document." ma:contentTypeScope="" ma:versionID="c66ebb0e3f9db525b2fc59e3f464a8ce">
  <xsd:schema xmlns:xsd="http://www.w3.org/2001/XMLSchema" xmlns:xs="http://www.w3.org/2001/XMLSchema" xmlns:p="http://schemas.microsoft.com/office/2006/metadata/properties" xmlns:ns2="a9276551-f76a-41f1-8c54-85b1ace04ad7" targetNamespace="http://schemas.microsoft.com/office/2006/metadata/properties" ma:root="true" ma:fieldsID="01e75d497b099c4a11eeab27ea56dfb0" ns2:_="">
    <xsd:import namespace="a9276551-f76a-41f1-8c54-85b1ace04a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76551-f76a-41f1-8c54-85b1ace04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885E-08E0-460F-B9C0-76DE65032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2A89D-65FD-46C7-85EF-CF98E8740377}">
  <ds:schemaRefs>
    <ds:schemaRef ds:uri="http://schemas.microsoft.com/sharepoint/v3/contenttype/forms"/>
  </ds:schemaRefs>
</ds:datastoreItem>
</file>

<file path=customXml/itemProps3.xml><?xml version="1.0" encoding="utf-8"?>
<ds:datastoreItem xmlns:ds="http://schemas.openxmlformats.org/officeDocument/2006/customXml" ds:itemID="{1AFA8F45-E0F5-4EEA-9DA9-D00263D0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76551-f76a-41f1-8c54-85b1ace04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8F273-0DD8-4104-A12A-D0FD556A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2686</Words>
  <Characters>16497</Characters>
  <Application>Microsoft Office Word</Application>
  <DocSecurity>0</DocSecurity>
  <Lines>323</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Ngobeni</dc:creator>
  <cp:keywords/>
  <dc:description/>
  <cp:lastModifiedBy>Rirhandzu Makamu</cp:lastModifiedBy>
  <cp:revision>4</cp:revision>
  <dcterms:created xsi:type="dcterms:W3CDTF">2026-03-24T14:18:00Z</dcterms:created>
  <dcterms:modified xsi:type="dcterms:W3CDTF">2026-03-26T09:02:00Z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e03609-26fe-498a-b72e-391fa1435644_Enabled">
    <vt:lpwstr>true</vt:lpwstr>
  </property>
  <property fmtid="{D5CDD505-2E9C-101B-9397-08002B2CF9AE}" pid="3" name="MSIP_Label_b5e03609-26fe-498a-b72e-391fa1435644_SetDate">
    <vt:lpwstr>2025-05-21T08:26:35Z</vt:lpwstr>
  </property>
  <property fmtid="{D5CDD505-2E9C-101B-9397-08002B2CF9AE}" pid="4" name="MSIP_Label_b5e03609-26fe-498a-b72e-391fa1435644_Method">
    <vt:lpwstr>Privileged</vt:lpwstr>
  </property>
  <property fmtid="{D5CDD505-2E9C-101B-9397-08002B2CF9AE}" pid="5" name="MSIP_Label_b5e03609-26fe-498a-b72e-391fa1435644_Name">
    <vt:lpwstr>Business Confidential</vt:lpwstr>
  </property>
  <property fmtid="{D5CDD505-2E9C-101B-9397-08002B2CF9AE}" pid="6" name="MSIP_Label_b5e03609-26fe-498a-b72e-391fa1435644_SiteId">
    <vt:lpwstr>70682427-7a66-4bae-9f42-f702a8ba8b2a</vt:lpwstr>
  </property>
  <property fmtid="{D5CDD505-2E9C-101B-9397-08002B2CF9AE}" pid="7" name="MSIP_Label_b5e03609-26fe-498a-b72e-391fa1435644_ActionId">
    <vt:lpwstr>1486ee5c-1e50-4073-9373-0937c2bbb07c</vt:lpwstr>
  </property>
  <property fmtid="{D5CDD505-2E9C-101B-9397-08002B2CF9AE}" pid="8" name="MSIP_Label_b5e03609-26fe-498a-b72e-391fa1435644_ContentBits">
    <vt:lpwstr>0</vt:lpwstr>
  </property>
  <property fmtid="{D5CDD505-2E9C-101B-9397-08002B2CF9AE}" pid="9" name="MSIP_Label_b5e03609-26fe-498a-b72e-391fa1435644_Tag">
    <vt:lpwstr>10, 0, 1, 1</vt:lpwstr>
  </property>
  <property fmtid="{D5CDD505-2E9C-101B-9397-08002B2CF9AE}" pid="10" name="ContentTypeId">
    <vt:lpwstr>0x0101003E457BB08B9B2F439C08EB411CBDC3BA</vt:lpwstr>
  </property>
  <property fmtid="{D5CDD505-2E9C-101B-9397-08002B2CF9AE}" pid="11" name="GrammarlyDocumentId">
    <vt:lpwstr>5473e69a-ee98-4b67-b12f-2f19756d7b28</vt:lpwstr>
  </property>
</Properties>
</file>